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exact"/>
        <w:rPr>
          <w:rFonts w:hint="eastAsia" w:ascii="黑体" w:hAnsi="黑体" w:eastAsia="黑体"/>
          <w:sz w:val="32"/>
          <w:szCs w:val="32"/>
        </w:rPr>
      </w:pPr>
      <w:r>
        <w:rPr>
          <w:rFonts w:hint="eastAsia" w:ascii="黑体" w:hAnsi="黑体" w:eastAsia="黑体"/>
          <w:sz w:val="32"/>
          <w:szCs w:val="32"/>
        </w:rPr>
        <w:t>附件2</w:t>
      </w:r>
    </w:p>
    <w:p>
      <w:pPr>
        <w:adjustRightInd w:val="0"/>
        <w:spacing w:before="120" w:beforeLines="50" w:after="120" w:afterLines="50" w:line="600" w:lineRule="exact"/>
        <w:jc w:val="center"/>
        <w:rPr>
          <w:rFonts w:hint="eastAsia" w:ascii="方正小标宋简体" w:hAnsi="黑体" w:eastAsia="方正小标宋简体"/>
          <w:sz w:val="32"/>
          <w:szCs w:val="32"/>
        </w:rPr>
      </w:pPr>
      <w:r>
        <w:rPr>
          <w:rFonts w:hint="eastAsia" w:ascii="方正小标宋简体" w:hAnsi="宋体" w:eastAsia="方正小标宋简体" w:cs="宋体"/>
          <w:bCs/>
          <w:kern w:val="0"/>
          <w:sz w:val="44"/>
          <w:szCs w:val="44"/>
        </w:rPr>
        <w:t>甘肃省医保2020年药品目录中按“三定”管理药品名单</w:t>
      </w:r>
    </w:p>
    <w:tbl>
      <w:tblPr>
        <w:tblStyle w:val="2"/>
        <w:tblW w:w="13608" w:type="dxa"/>
        <w:jc w:val="right"/>
        <w:tblLayout w:type="autofit"/>
        <w:tblCellMar>
          <w:top w:w="0" w:type="dxa"/>
          <w:left w:w="108" w:type="dxa"/>
          <w:bottom w:w="0" w:type="dxa"/>
          <w:right w:w="108" w:type="dxa"/>
        </w:tblCellMar>
      </w:tblPr>
      <w:tblGrid>
        <w:gridCol w:w="567"/>
        <w:gridCol w:w="2625"/>
        <w:gridCol w:w="1061"/>
        <w:gridCol w:w="873"/>
        <w:gridCol w:w="1820"/>
        <w:gridCol w:w="3969"/>
        <w:gridCol w:w="1701"/>
        <w:gridCol w:w="992"/>
      </w:tblGrid>
      <w:tr>
        <w:tblPrEx>
          <w:tblCellMar>
            <w:top w:w="0" w:type="dxa"/>
            <w:left w:w="108" w:type="dxa"/>
            <w:bottom w:w="0" w:type="dxa"/>
            <w:right w:w="108" w:type="dxa"/>
          </w:tblCellMar>
        </w:tblPrEx>
        <w:trPr>
          <w:trHeight w:val="397" w:hRule="atLeast"/>
          <w:tblHeader/>
          <w:jc w:val="righ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编号</w:t>
            </w:r>
          </w:p>
        </w:tc>
        <w:tc>
          <w:tcPr>
            <w:tcW w:w="26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药品分类代码</w:t>
            </w:r>
          </w:p>
        </w:tc>
        <w:tc>
          <w:tcPr>
            <w:tcW w:w="106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药品名称</w:t>
            </w:r>
          </w:p>
        </w:tc>
        <w:tc>
          <w:tcPr>
            <w:tcW w:w="873"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剂型</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医保支付标准</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备注</w:t>
            </w:r>
          </w:p>
        </w:tc>
        <w:tc>
          <w:tcPr>
            <w:tcW w:w="170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协议有效期</w:t>
            </w:r>
          </w:p>
        </w:tc>
        <w:tc>
          <w:tcPr>
            <w:tcW w:w="992"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管理类别</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X-D11AA-D048-B001-001T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度普利尤</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单抗</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nil"/>
              <w:left w:val="nil"/>
              <w:bottom w:val="nil"/>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限对传统治疗无效、有禁忌或不耐受的中重度特应性皮炎患者，需按说明书用药。</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X-H01CB-L032-B029-001T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X-H01CB-L032-B029-002T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X-H01CB-L032-B029-003T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兰瑞肽</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缓释</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r>
              <w:rPr>
                <w:rFonts w:hint="eastAsia" w:ascii="仿宋_GB2312" w:hAnsi="宋体" w:eastAsia="仿宋_GB2312" w:cs="宋体"/>
                <w:spacing w:val="-10"/>
                <w:kern w:val="0"/>
                <w:szCs w:val="21"/>
              </w:rPr>
              <w:t>（预充式）</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限肢端肥大症，按说明书用药。</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X-J05AP-K138-E001-001T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可洛派韦</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spacing w:val="-4"/>
                <w:kern w:val="0"/>
                <w:szCs w:val="21"/>
              </w:rPr>
            </w:pPr>
            <w:r>
              <w:rPr>
                <w:rFonts w:hint="eastAsia" w:ascii="仿宋_GB2312" w:hAnsi="宋体" w:eastAsia="仿宋_GB2312" w:cs="宋体"/>
                <w:spacing w:val="-4"/>
                <w:kern w:val="0"/>
                <w:szCs w:val="21"/>
              </w:rPr>
              <w:t>119.5元(60mg/粒)</w:t>
            </w:r>
          </w:p>
          <w:p>
            <w:pPr>
              <w:widowControl/>
              <w:spacing w:line="360" w:lineRule="exact"/>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(协议有效期内，谈判企业负责向购买盐酸可洛派韦胶囊的患者免费提供同疗程的索磷布韦片)</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限经HCV基因分型检测确诊为基因1b型以外的慢性丙型肝炎患者。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X-J05AR-A311-B001-001T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艾博韦泰</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532元</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（160mg/支）</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限艾滋病病毒感染。</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X-L01XC-Y077-B001-001T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伊尼妥</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单抗</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nil"/>
              <w:left w:val="nil"/>
              <w:bottom w:val="nil"/>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限HER2阳性的转移性乳腺癌：与长春瑞滨联合治疗已接受过1个或多个化疗方案的转移性乳腺癌患者。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X-L01XC-T181-B002-001T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X-L01XC-T181-B002-002T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X-L01XC-T181-B002-003T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特瑞普利</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单抗</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限既往接受全身系统治疗失败的不可切除或转移性黑色素瘤的治疗。</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7</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X-L01XC-K131-B001-001T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卡瑞利珠</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单抗</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nil"/>
              <w:left w:val="nil"/>
              <w:bottom w:val="nil"/>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7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1.至少经过二线系统化疗的复发或难治性经典型霍奇金淋巴瘤患者的治疗。2.既往接受过索拉非尼治疗和/或含奥沙利铂系统化疗的晚期肝细胞癌患者的治疗。3.联合培美曲塞和卡铂适用于表皮生长因子受体（EGFR）基因突变阴性和间变性淋巴瘤激酶（ALK）阴性的、不可手术切除的局部晚期或转移性非鳞状非小细胞肺癌（NSCLC）的一线治疗。4.既往接受过一线化疗后疾病进展或不可耐受的局部晚期或转移性食管鳞癌患者的治疗。</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8</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X-L01XE-F716-A001-001T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X-L01XE-F716-A001-002T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氟马替尼</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65元(0.2g/片)；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38.24元(0.1g/片)</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7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限费城染色体阳性的慢性髓性白血病（Ph+ CML）慢性期成人患者。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w:t>
            </w:r>
          </w:p>
        </w:tc>
        <w:tc>
          <w:tcPr>
            <w:tcW w:w="26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X-L01XE-A328-A001-001T</w:t>
            </w:r>
          </w:p>
        </w:tc>
        <w:tc>
          <w:tcPr>
            <w:tcW w:w="106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阿美替尼</w:t>
            </w:r>
          </w:p>
        </w:tc>
        <w:tc>
          <w:tcPr>
            <w:tcW w:w="87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176元(55mg/片)</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7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限既往因表皮生长因子受体（EGFR）酪氨酸激酶抑制剂（TKI）治疗时或治疗后出现疾病进展，并且经检验确认存在EGFR T790M 突变阳性的局部晚期或转移性非小细胞肺癌成人患者。</w:t>
            </w:r>
          </w:p>
        </w:tc>
        <w:tc>
          <w:tcPr>
            <w:tcW w:w="170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2625"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X-L01XE-Z104-E001-001T</w:t>
            </w:r>
          </w:p>
        </w:tc>
        <w:tc>
          <w:tcPr>
            <w:tcW w:w="106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泽布替尼</w:t>
            </w:r>
          </w:p>
        </w:tc>
        <w:tc>
          <w:tcPr>
            <w:tcW w:w="87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7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限：1.既往至少接受过一种治疗的成人套细胞淋巴瘤（MCL）患者。2.既往至少接受过一种治疗的成人慢性淋巴细胞白血病（CLL）/ 小淋巴细胞淋巴瘤（SLL）患者。</w:t>
            </w:r>
          </w:p>
        </w:tc>
        <w:tc>
          <w:tcPr>
            <w:tcW w:w="170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w:t>
            </w:r>
          </w:p>
        </w:tc>
        <w:tc>
          <w:tcPr>
            <w:tcW w:w="26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X-L01XE-Q175-A001-001T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X-L01XE-Q175-A001-002T</w:t>
            </w:r>
          </w:p>
        </w:tc>
        <w:tc>
          <w:tcPr>
            <w:tcW w:w="106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曲美替尼</w:t>
            </w:r>
          </w:p>
        </w:tc>
        <w:tc>
          <w:tcPr>
            <w:tcW w:w="87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限1.BRAF V600 突变阳性不可切除或转移性黑色素瘤：联合甲磺酸达拉非尼适用于治疗BRAF V600 突变阳性的不可切除或转移性黑色素瘤患者。2.BRAF V600 突变阳性黑色素瘤的术后辅助治疗：联合甲磺酸达拉非尼适用于BRAF V600 突变阳性的III期黑色素瘤患者完全切除后的辅助治疗。</w:t>
            </w:r>
          </w:p>
        </w:tc>
        <w:tc>
          <w:tcPr>
            <w:tcW w:w="170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26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X-L01XE-D340-E001-001T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X-L01XE-D340-E001-002T</w:t>
            </w:r>
          </w:p>
        </w:tc>
        <w:tc>
          <w:tcPr>
            <w:tcW w:w="106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达拉非尼</w:t>
            </w:r>
          </w:p>
        </w:tc>
        <w:tc>
          <w:tcPr>
            <w:tcW w:w="87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限1.BRAF V600 突变阳性不可切除或转移性黑色素瘤：联合曲美替尼适用于治疗BRAF V600 突变阳性的不可切除或转移性黑色素瘤患者。2.BRAF V600 突变阳性黑色素瘤的术后辅助治疗：联合曲美替尼适用于BRAF V600 突变阳性的III期黑色素瘤患者完全切除后的辅助治疗。</w:t>
            </w:r>
          </w:p>
        </w:tc>
        <w:tc>
          <w:tcPr>
            <w:tcW w:w="170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13</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X-L01XE-L369-E001-001T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X-L01XE-L369-E001-002T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仑伐替尼</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限既往未接受过全身系统治疗的不可切除的肝细胞癌患者。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14</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X-L02BB-E088-E002-001T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恩扎卢胺</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限雄激素剥夺治疗（ADT）失败后无症状或有轻微症状且未接受化疗的转移性去势抵抗性前列腺癌（CRPC）成年患者的治疗。</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15</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X-L01XX-N118-E001-001T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尼拉帕利</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限铂敏感的复发性上皮性卵巢癌、输卵管癌或原发性腹膜癌成人患者在含铂化疗达到完全缓解或部分缓解后的维持治疗。</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X-M05BX-D334-B002-001T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X-M05BX-D334-B002-002T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地舒单抗</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限绝经后妇女的重度骨质疏松；限不可手术切除或者手术切除可能导致严重功能障碍的骨巨细胞瘤。</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w:t>
            </w:r>
          </w:p>
        </w:tc>
        <w:tc>
          <w:tcPr>
            <w:tcW w:w="26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X-L04AA-X246-A001-001T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X-L04AA-X246-A001-002T</w:t>
            </w:r>
          </w:p>
        </w:tc>
        <w:tc>
          <w:tcPr>
            <w:tcW w:w="106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西尼莫德</w:t>
            </w:r>
          </w:p>
        </w:tc>
        <w:tc>
          <w:tcPr>
            <w:tcW w:w="87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限成人复发型多发性硬化的患者。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18</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X-L04AA-F715-E001-001T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芬戈莫德</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限10岁及以上患者复发型多发性硬化（RMS）的患者。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19</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X-L04AA-B235-B001-001T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X-L04AA-B235-B001-002T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贝利尤单抗</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限与常规治疗联合，适用于在常规治疗基础上仍具有高疾病活动（例如：抗ds-DNA抗体阳性及低补体、SELENA-SLEDAI评分≥8）的活动性、自身抗体阳性的系统性红斑狼疮（SLE）成年患者。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w:t>
            </w:r>
          </w:p>
        </w:tc>
        <w:tc>
          <w:tcPr>
            <w:tcW w:w="26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X-L04AB-Y251-B001-001T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X-L04AB-Y251-B001-002T</w:t>
            </w:r>
          </w:p>
        </w:tc>
        <w:tc>
          <w:tcPr>
            <w:tcW w:w="106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依那西普</w:t>
            </w:r>
          </w:p>
        </w:tc>
        <w:tc>
          <w:tcPr>
            <w:tcW w:w="87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170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21</w:t>
            </w:r>
          </w:p>
        </w:tc>
        <w:tc>
          <w:tcPr>
            <w:tcW w:w="262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X-L04AC-S271-B002-001T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司库奇尤</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单抗</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以下情况方可支付：1.诊断明确的强直性脊柱炎（不含放射学前期中轴性脊柱关节炎）NSAIDs充分治疗3个月疾病活动度下降低于50%者；并需风湿病专科医师处方。2.对传统治疗无效、有禁忌或不耐受的中重度斑块状银屑病患者，需按说明书用药。</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22</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X-L01XE-N112-E002-001T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X-L01XE-N112-E002-002T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尼达尼布</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6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限特发性肺纤维化（IPF）或系统性硬化病相关间质性肺疾病（SSc-ILD）患者。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23</w:t>
            </w:r>
          </w:p>
        </w:tc>
        <w:tc>
          <w:tcPr>
            <w:tcW w:w="26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 xml:space="preserve">X-N05AX-D133-W001-001T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X-N05AX-D133-W001-002T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X-N05AX-D133-W001-003T</w:t>
            </w:r>
          </w:p>
        </w:tc>
        <w:tc>
          <w:tcPr>
            <w:tcW w:w="106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氘丁苯那嗪</w:t>
            </w:r>
          </w:p>
        </w:tc>
        <w:tc>
          <w:tcPr>
            <w:tcW w:w="87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限与亨廷顿病有关的舞蹈病或成人迟发性运动障碍。</w:t>
            </w:r>
          </w:p>
        </w:tc>
        <w:tc>
          <w:tcPr>
            <w:tcW w:w="1701"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24</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X-N05AX-Z101-B002-001T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X-N05AX-Z101-B002-002T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X-N05AX-Z101-B002-003T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X-N05AX-Z101-B002-004T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棕榈帕利哌酮酯（3M）</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限接受过棕榈酸帕利哌酮注射液（1个月剂型）至少4个月充分治疗的精神分裂症患者。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25</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X-L04AA-B233-A001-001T</w:t>
            </w:r>
          </w:p>
        </w:tc>
        <w:tc>
          <w:tcPr>
            <w:tcW w:w="106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巴瑞替尼</w:t>
            </w:r>
          </w:p>
        </w:tc>
        <w:tc>
          <w:tcPr>
            <w:tcW w:w="8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single" w:color="auto" w:sz="4" w:space="0"/>
              <w:left w:val="nil"/>
              <w:bottom w:val="nil"/>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限诊断明确的类风湿关节炎经传统DMARDs治疗3-6个月疾病活动度下降低于50%者，并需风湿病专科医师处方。</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2021年3月1日至2022年12月31日</w:t>
            </w: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26</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N-X-L01XE-Y059-A001</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N-X-L01XE-Y059-E001</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伊马替尼</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片剂</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硬胶囊</w:t>
            </w:r>
          </w:p>
        </w:tc>
        <w:tc>
          <w:tcPr>
            <w:tcW w:w="1820"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有慢性髓性白血病诊断并有费城染色体阳性的检验证据的患者；有急性淋巴细胞白血病诊断并有费城染色体阳性的检验证据的儿童患者；难治的或复发的费城染色体阳性的急性淋巴细胞白血病成人患者；胃肠间质瘤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“三定”</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27</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N-X-L01XC-L075-B002</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利妥昔单抗</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限复发或耐药的滤泡性中央型淋巴瘤(国际工作分类B、C和D亚型的B细胞非霍奇金淋巴瘤)，CD20阳性Ⅲ-Ⅳ期滤泡性非霍奇金淋巴瘤，CD20阳性弥漫大B细胞性非霍奇金淋巴瘤；支付不超过8个疗程。</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参照“三定”管理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28</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N-X-L01XE-A274-A001</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埃克替尼</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限EGFR基因敏感突变的晚期非小细胞肺癌。</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参照“三定”管理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29</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N-X-L01XE-D246-A001</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达沙替尼</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限对伊马替尼耐药或不耐受的慢性髓细胞白血病患者</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参照“三定”管理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30</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N-X-L01XE-J008-A001</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吉非替尼</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限EGFR基因敏感突变的晚期非小细胞肺癌。</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参照“三定”管理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31</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N-X-L01XE-P043-B001</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硼替佐米</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1820"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限多发性骨髓瘤、复发或难治性套细胞淋巴瘤患者，并满足以下条件：1、每2个疗程需提供治疗有效的证据后方可继续支付；2、由三级医院血液专科或血液专科医院医师处方。</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参照“三定”管理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32</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N-X-L02BB-A292-A001</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阿比特龙</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限转移性去势抵抗性前列腺癌、新诊断的高危转移性内分泌治疗敏感性前列腺癌。</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参照“三定”管理</w:t>
            </w:r>
          </w:p>
        </w:tc>
      </w:tr>
      <w:tr>
        <w:tblPrEx>
          <w:tblCellMar>
            <w:top w:w="0" w:type="dxa"/>
            <w:left w:w="108" w:type="dxa"/>
            <w:bottom w:w="0" w:type="dxa"/>
            <w:right w:w="108" w:type="dxa"/>
          </w:tblCellMar>
        </w:tblPrEx>
        <w:trPr>
          <w:trHeight w:val="397" w:hRule="atLeast"/>
          <w:jc w:val="right"/>
        </w:trPr>
        <w:tc>
          <w:tcPr>
            <w:tcW w:w="567"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33</w:t>
            </w:r>
          </w:p>
        </w:tc>
        <w:tc>
          <w:tcPr>
            <w:tcW w:w="26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N-X-L04AX-L344-E001</w:t>
            </w:r>
          </w:p>
        </w:tc>
        <w:tc>
          <w:tcPr>
            <w:tcW w:w="106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来那度胺</w:t>
            </w:r>
          </w:p>
        </w:tc>
        <w:tc>
          <w:tcPr>
            <w:tcW w:w="873"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w:t>
            </w:r>
          </w:p>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常释剂型</w:t>
            </w:r>
          </w:p>
        </w:tc>
        <w:tc>
          <w:tcPr>
            <w:tcW w:w="1820"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39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xml:space="preserve">限曾接受过至少一种疗法的多发性骨髓瘤的成年患者，并满足以下条件：1、每2个疗程需提供治疗有效的证据后方可继续支付；2、由三级医院血液专科或血液专科医院医师处方。 </w:t>
            </w:r>
          </w:p>
        </w:tc>
        <w:tc>
          <w:tcPr>
            <w:tcW w:w="1701"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p>
        </w:tc>
        <w:tc>
          <w:tcPr>
            <w:tcW w:w="99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参照“三定”管理</w:t>
            </w:r>
          </w:p>
        </w:tc>
      </w:tr>
    </w:tbl>
    <w:p>
      <w:bookmarkStart w:id="0" w:name="_GoBack"/>
      <w:bookmarkEnd w:id="0"/>
    </w:p>
    <w:sectPr>
      <w:pgSz w:w="16838" w:h="11906" w:orient="landscape"/>
      <w:pgMar w:top="1587" w:right="1587" w:bottom="1587" w:left="1587" w:header="851" w:footer="1417"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57534"/>
    <w:rsid w:val="08400E64"/>
    <w:rsid w:val="2D52116D"/>
    <w:rsid w:val="3C4E1583"/>
    <w:rsid w:val="4E9842CF"/>
    <w:rsid w:val="51E561D2"/>
    <w:rsid w:val="52A57534"/>
    <w:rsid w:val="5D45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2021-03-24T01:40:00Z</dcterms:created>
  <dc:creator>文澜0931</dc:creator>
  <cp:lastModifiedBy>文澜0931</cp:lastModifiedBy>
  <dcterms:modified xsi:type="dcterms:W3CDTF">2021-03-24T01:42:06Z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503D98D8B5C841D5AE1CD636CC4E779A</vt:lpwstr>
  </property>
</Properties>
</file>