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3</w:t>
      </w:r>
    </w:p>
    <w:p>
      <w:pPr>
        <w:spacing w:before="312" w:beforeLines="100" w:after="312" w:afterLines="100" w:line="560" w:lineRule="exac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阿兹夫定片医保编码</w:t>
      </w:r>
    </w:p>
    <w:tbl>
      <w:tblPr>
        <w:tblStyle w:val="2"/>
        <w:tblpPr w:leftFromText="180" w:rightFromText="180" w:vertAnchor="text" w:horzAnchor="page" w:tblpX="1264" w:tblpY="157"/>
        <w:tblOverlap w:val="never"/>
        <w:tblW w:w="9669" w:type="dxa"/>
        <w:tblInd w:w="0" w:type="dxa"/>
        <w:tblLayout w:type="fixed"/>
        <w:tblCellMar>
          <w:top w:w="0" w:type="dxa"/>
          <w:left w:w="108" w:type="dxa"/>
          <w:bottom w:w="0" w:type="dxa"/>
          <w:right w:w="108" w:type="dxa"/>
        </w:tblCellMar>
      </w:tblPr>
      <w:tblGrid>
        <w:gridCol w:w="565"/>
        <w:gridCol w:w="819"/>
        <w:gridCol w:w="750"/>
        <w:gridCol w:w="808"/>
        <w:gridCol w:w="1122"/>
        <w:gridCol w:w="2898"/>
        <w:gridCol w:w="2707"/>
      </w:tblGrid>
      <w:tr>
        <w:tblPrEx>
          <w:tblCellMar>
            <w:top w:w="0" w:type="dxa"/>
            <w:left w:w="108" w:type="dxa"/>
            <w:bottom w:w="0" w:type="dxa"/>
            <w:right w:w="108" w:type="dxa"/>
          </w:tblCellMar>
        </w:tblPrEx>
        <w:trPr>
          <w:trHeight w:val="779" w:hRule="atLeast"/>
        </w:trPr>
        <w:tc>
          <w:tcPr>
            <w:tcW w:w="56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序号</w:t>
            </w:r>
          </w:p>
        </w:tc>
        <w:tc>
          <w:tcPr>
            <w:tcW w:w="81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通用名</w:t>
            </w:r>
          </w:p>
        </w:tc>
        <w:tc>
          <w:tcPr>
            <w:tcW w:w="75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剂型</w:t>
            </w:r>
          </w:p>
        </w:tc>
        <w:tc>
          <w:tcPr>
            <w:tcW w:w="80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规格</w:t>
            </w:r>
          </w:p>
        </w:tc>
        <w:tc>
          <w:tcPr>
            <w:tcW w:w="112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b/>
                <w:bCs/>
                <w:kern w:val="0"/>
                <w:sz w:val="24"/>
                <w:lang w:eastAsia="zh-CN"/>
              </w:rPr>
            </w:pPr>
            <w:r>
              <w:rPr>
                <w:rFonts w:hint="eastAsia" w:ascii="仿宋_GB2312" w:hAnsi="宋体" w:eastAsia="仿宋_GB2312" w:cs="宋体"/>
                <w:b/>
                <w:bCs/>
                <w:kern w:val="0"/>
                <w:sz w:val="24"/>
                <w:lang w:eastAsia="zh-CN"/>
              </w:rPr>
              <w:t>支付类别</w:t>
            </w:r>
          </w:p>
        </w:tc>
        <w:tc>
          <w:tcPr>
            <w:tcW w:w="289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b/>
                <w:bCs/>
                <w:kern w:val="0"/>
                <w:sz w:val="24"/>
                <w:lang w:eastAsia="zh-CN"/>
              </w:rPr>
            </w:pPr>
            <w:r>
              <w:rPr>
                <w:rFonts w:hint="eastAsia" w:ascii="仿宋_GB2312" w:hAnsi="宋体" w:eastAsia="仿宋_GB2312" w:cs="宋体"/>
                <w:b/>
                <w:bCs/>
                <w:kern w:val="0"/>
                <w:sz w:val="24"/>
                <w:lang w:eastAsia="zh-CN"/>
              </w:rPr>
              <w:t>医保编码</w:t>
            </w:r>
          </w:p>
        </w:tc>
        <w:tc>
          <w:tcPr>
            <w:tcW w:w="27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b/>
                <w:bCs/>
                <w:kern w:val="0"/>
                <w:sz w:val="24"/>
                <w:lang w:eastAsia="zh-CN"/>
              </w:rPr>
            </w:pPr>
            <w:r>
              <w:rPr>
                <w:rFonts w:hint="eastAsia" w:ascii="仿宋_GB2312" w:hAnsi="宋体" w:eastAsia="仿宋_GB2312" w:cs="宋体"/>
                <w:b/>
                <w:bCs/>
                <w:kern w:val="0"/>
                <w:sz w:val="24"/>
                <w:lang w:eastAsia="zh-CN"/>
              </w:rPr>
              <w:t>备注</w:t>
            </w:r>
          </w:p>
        </w:tc>
      </w:tr>
      <w:tr>
        <w:tblPrEx>
          <w:tblCellMar>
            <w:top w:w="0" w:type="dxa"/>
            <w:left w:w="108" w:type="dxa"/>
            <w:bottom w:w="0" w:type="dxa"/>
            <w:right w:w="108" w:type="dxa"/>
          </w:tblCellMar>
        </w:tblPrEx>
        <w:trPr>
          <w:trHeight w:val="1101" w:hRule="atLeast"/>
        </w:trPr>
        <w:tc>
          <w:tcPr>
            <w:tcW w:w="565"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81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阿兹夫定片</w:t>
            </w:r>
          </w:p>
        </w:tc>
        <w:tc>
          <w:tcPr>
            <w:tcW w:w="75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片剂</w:t>
            </w:r>
          </w:p>
        </w:tc>
        <w:tc>
          <w:tcPr>
            <w:tcW w:w="80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3mg</w:t>
            </w:r>
          </w:p>
        </w:tc>
        <w:tc>
          <w:tcPr>
            <w:tcW w:w="112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甲类</w:t>
            </w:r>
          </w:p>
        </w:tc>
        <w:tc>
          <w:tcPr>
            <w:tcW w:w="289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XJ05ARA359A001010100190</w:t>
            </w:r>
          </w:p>
        </w:tc>
        <w:tc>
          <w:tcPr>
            <w:tcW w:w="2707" w:type="dxa"/>
            <w:vMerge w:val="restart"/>
            <w:tcBorders>
              <w:top w:val="nil"/>
              <w:left w:val="nil"/>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按照《国家卫生健康委办公厅 国家中医药局办公室关于将阿兹夫定片纳入新型冠状病毒肺炎诊疗方案的通知》规定使用</w:t>
            </w:r>
          </w:p>
        </w:tc>
      </w:tr>
      <w:tr>
        <w:tblPrEx>
          <w:tblCellMar>
            <w:top w:w="0" w:type="dxa"/>
            <w:left w:w="108" w:type="dxa"/>
            <w:bottom w:w="0" w:type="dxa"/>
            <w:right w:w="108" w:type="dxa"/>
          </w:tblCellMar>
        </w:tblPrEx>
        <w:trPr>
          <w:trHeight w:val="1201" w:hRule="atLeast"/>
        </w:trPr>
        <w:tc>
          <w:tcPr>
            <w:tcW w:w="565"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81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阿兹夫定片</w:t>
            </w:r>
          </w:p>
        </w:tc>
        <w:tc>
          <w:tcPr>
            <w:tcW w:w="75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片剂</w:t>
            </w:r>
          </w:p>
        </w:tc>
        <w:tc>
          <w:tcPr>
            <w:tcW w:w="80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 xml:space="preserve">mg </w:t>
            </w:r>
          </w:p>
        </w:tc>
        <w:tc>
          <w:tcPr>
            <w:tcW w:w="112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甲类</w:t>
            </w:r>
          </w:p>
        </w:tc>
        <w:tc>
          <w:tcPr>
            <w:tcW w:w="289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XJ05ARA359A001020100190</w:t>
            </w:r>
          </w:p>
        </w:tc>
        <w:tc>
          <w:tcPr>
            <w:tcW w:w="2707" w:type="dxa"/>
            <w:vMerge w:val="continue"/>
            <w:tcBorders>
              <w:left w:val="nil"/>
              <w:bottom w:val="single" w:color="auto" w:sz="4" w:space="0"/>
              <w:right w:val="single" w:color="auto" w:sz="4" w:space="0"/>
            </w:tcBorders>
            <w:shd w:val="clear" w:color="auto" w:fill="auto"/>
            <w:noWrap/>
            <w:tcMar>
              <w:left w:w="0" w:type="dxa"/>
              <w:right w:w="0" w:type="dxa"/>
            </w:tcMar>
            <w:vAlign w:val="center"/>
          </w:tcPr>
          <w:p>
            <w:pPr>
              <w:widowControl/>
              <w:jc w:val="center"/>
              <w:rPr>
                <w:rFonts w:hint="eastAsia" w:ascii="仿宋_GB2312" w:hAnsi="宋体" w:eastAsia="仿宋_GB2312" w:cs="宋体"/>
                <w:kern w:val="0"/>
                <w:sz w:val="24"/>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ZWE3YjViZWM1MWI4NDZkNWZhMzQ4ZGZkOWI4OTIifQ=="/>
  </w:docVars>
  <w:rsids>
    <w:rsidRoot w:val="26C07751"/>
    <w:rsid w:val="21070ABE"/>
    <w:rsid w:val="26C0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Words>
  <Characters>101</Characters>
  <Lines>0</Lines>
  <Paragraphs>0</Paragraphs>
  <TotalTime>5</TotalTime>
  <ScaleCrop>false</ScaleCrop>
  <LinksUpToDate>false</LinksUpToDate>
  <CharactersWithSpaces>102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2022-08-16T07:01:00Z</dcterms:created>
  <dc:creator>冰凌可可</dc:creator>
  <cp:lastModifiedBy>冰凌可可</cp:lastModifiedBy>
  <dcterms:modified xsi:type="dcterms:W3CDTF">2022-08-16T08:34:43Z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062F7D6842094634821ABDD4C87CCD53</vt:lpwstr>
  </property>
</Properties>
</file>