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1</w:t>
      </w:r>
    </w:p>
    <w:p>
      <w:pPr>
        <w:pStyle w:val="7"/>
        <w:ind w:left="0"/>
        <w:rPr>
          <w:rFonts w:ascii="Times New Roman" w:hAnsi="Times New Roman" w:cs="Times New Roman"/>
          <w:color w:val="000000" w:themeColor="text1"/>
          <w:sz w:val="20"/>
          <w14:textFill>
            <w14:solidFill>
              <w14:schemeClr w14:val="tx1"/>
            </w14:solidFill>
          </w14:textFill>
        </w:rPr>
      </w:pPr>
    </w:p>
    <w:p>
      <w:pPr>
        <w:pStyle w:val="7"/>
        <w:ind w:left="0"/>
        <w:rPr>
          <w:rFonts w:ascii="Times New Roman" w:hAnsi="Times New Roman" w:cs="Times New Roman"/>
          <w:color w:val="000000" w:themeColor="text1"/>
          <w:sz w:val="20"/>
          <w14:textFill>
            <w14:solidFill>
              <w14:schemeClr w14:val="tx1"/>
            </w14:solidFill>
          </w14:textFill>
        </w:rPr>
      </w:pPr>
    </w:p>
    <w:p>
      <w:pPr>
        <w:pStyle w:val="7"/>
        <w:ind w:left="0"/>
        <w:rPr>
          <w:rFonts w:ascii="Times New Roman" w:hAnsi="Times New Roman" w:cs="Times New Roman"/>
          <w:color w:val="000000" w:themeColor="text1"/>
          <w:sz w:val="20"/>
          <w14:textFill>
            <w14:solidFill>
              <w14:schemeClr w14:val="tx1"/>
            </w14:solidFill>
          </w14:textFill>
        </w:rPr>
      </w:pPr>
    </w:p>
    <w:p>
      <w:pPr>
        <w:pStyle w:val="7"/>
        <w:ind w:left="0"/>
        <w:rPr>
          <w:rFonts w:ascii="Times New Roman" w:hAnsi="Times New Roman" w:cs="Times New Roman"/>
          <w:color w:val="000000" w:themeColor="text1"/>
          <w:sz w:val="20"/>
          <w14:textFill>
            <w14:solidFill>
              <w14:schemeClr w14:val="tx1"/>
            </w14:solidFill>
          </w14:textFill>
        </w:rPr>
      </w:pPr>
    </w:p>
    <w:p>
      <w:pPr>
        <w:pStyle w:val="7"/>
        <w:ind w:left="0"/>
        <w:rPr>
          <w:rFonts w:ascii="Times New Roman" w:hAnsi="Times New Roman" w:cs="Times New Roman"/>
          <w:color w:val="000000" w:themeColor="text1"/>
          <w:sz w:val="20"/>
          <w:lang w:val="en-US"/>
          <w14:textFill>
            <w14:solidFill>
              <w14:schemeClr w14:val="tx1"/>
            </w14:solidFill>
          </w14:textFill>
        </w:rPr>
      </w:pPr>
      <w:r>
        <w:rPr>
          <w:rFonts w:ascii="Times New Roman" w:hAnsi="Times New Roman" w:cs="Times New Roman"/>
          <w:color w:val="000000" w:themeColor="text1"/>
          <w:sz w:val="20"/>
          <w:lang w:val="en-US"/>
          <w14:textFill>
            <w14:solidFill>
              <w14:schemeClr w14:val="tx1"/>
            </w14:solidFill>
          </w14:textFill>
        </w:rPr>
        <w:t xml:space="preserve"> </w:t>
      </w:r>
    </w:p>
    <w:p>
      <w:pPr>
        <w:pStyle w:val="7"/>
        <w:ind w:left="0"/>
        <w:rPr>
          <w:rFonts w:ascii="Times New Roman" w:hAnsi="Times New Roman" w:cs="Times New Roman"/>
          <w:color w:val="000000" w:themeColor="text1"/>
          <w:sz w:val="20"/>
          <w14:textFill>
            <w14:solidFill>
              <w14:schemeClr w14:val="tx1"/>
            </w14:solidFill>
          </w14:textFill>
        </w:rPr>
      </w:pPr>
    </w:p>
    <w:p>
      <w:pPr>
        <w:pStyle w:val="7"/>
        <w:spacing w:before="6"/>
        <w:ind w:left="0"/>
        <w:rPr>
          <w:rFonts w:ascii="Times New Roman" w:hAnsi="Times New Roman" w:cs="Times New Roman"/>
          <w:color w:val="000000" w:themeColor="text1"/>
          <w:sz w:val="24"/>
          <w14:textFill>
            <w14:solidFill>
              <w14:schemeClr w14:val="tx1"/>
            </w14:solidFill>
          </w14:textFill>
        </w:rPr>
      </w:pPr>
    </w:p>
    <w:p>
      <w:pPr>
        <w:jc w:val="center"/>
        <w:rPr>
          <w:rFonts w:ascii="Times New Roman" w:hAnsi="Times New Roman" w:eastAsia="华文中宋" w:cs="Times New Roman"/>
          <w:color w:val="000000" w:themeColor="text1"/>
          <w:sz w:val="72"/>
          <w:szCs w:val="72"/>
          <w:lang w:val="en-US"/>
          <w14:textFill>
            <w14:solidFill>
              <w14:schemeClr w14:val="tx1"/>
            </w14:solidFill>
          </w14:textFill>
        </w:rPr>
      </w:pPr>
      <w:r>
        <w:rPr>
          <w:rFonts w:hint="eastAsia" w:ascii="Times New Roman" w:hAnsi="Times New Roman" w:eastAsia="华文中宋" w:cs="Times New Roman"/>
          <w:color w:val="000000" w:themeColor="text1"/>
          <w:sz w:val="72"/>
          <w:szCs w:val="72"/>
          <w:lang w:val="en-US"/>
          <w14:textFill>
            <w14:solidFill>
              <w14:schemeClr w14:val="tx1"/>
            </w14:solidFill>
          </w14:textFill>
        </w:rPr>
        <w:t>阿莫西林等45个</w:t>
      </w:r>
      <w:r>
        <w:rPr>
          <w:rFonts w:ascii="Times New Roman" w:hAnsi="Times New Roman" w:eastAsia="华文中宋" w:cs="Times New Roman"/>
          <w:color w:val="000000" w:themeColor="text1"/>
          <w:sz w:val="72"/>
          <w:szCs w:val="72"/>
          <w14:textFill>
            <w14:solidFill>
              <w14:schemeClr w14:val="tx1"/>
            </w14:solidFill>
          </w14:textFill>
        </w:rPr>
        <w:t>药品</w:t>
      </w:r>
      <w:r>
        <w:rPr>
          <w:rFonts w:ascii="Times New Roman" w:hAnsi="Times New Roman" w:eastAsia="华文中宋" w:cs="Times New Roman"/>
          <w:color w:val="000000" w:themeColor="text1"/>
          <w:sz w:val="72"/>
          <w:szCs w:val="72"/>
          <w:lang w:val="en-US"/>
          <w14:textFill>
            <w14:solidFill>
              <w14:schemeClr w14:val="tx1"/>
            </w14:solidFill>
          </w14:textFill>
        </w:rPr>
        <w:t>联盟地区</w:t>
      </w:r>
    </w:p>
    <w:p>
      <w:pPr>
        <w:jc w:val="center"/>
        <w:rPr>
          <w:rFonts w:ascii="Times New Roman" w:hAnsi="Times New Roman" w:eastAsia="华文中宋" w:cs="Times New Roman"/>
          <w:color w:val="000000" w:themeColor="text1"/>
          <w:sz w:val="72"/>
          <w:szCs w:val="72"/>
          <w14:textFill>
            <w14:solidFill>
              <w14:schemeClr w14:val="tx1"/>
            </w14:solidFill>
          </w14:textFill>
        </w:rPr>
      </w:pPr>
      <w:r>
        <w:rPr>
          <w:rFonts w:ascii="Times New Roman" w:hAnsi="Times New Roman" w:eastAsia="华文中宋" w:cs="Times New Roman"/>
          <w:color w:val="000000" w:themeColor="text1"/>
          <w:sz w:val="72"/>
          <w:szCs w:val="72"/>
          <w14:textFill>
            <w14:solidFill>
              <w14:schemeClr w14:val="tx1"/>
            </w14:solidFill>
          </w14:textFill>
        </w:rPr>
        <w:t>集</w:t>
      </w:r>
      <w:r>
        <w:rPr>
          <w:rFonts w:ascii="Times New Roman" w:hAnsi="Times New Roman" w:eastAsia="华文中宋" w:cs="Times New Roman"/>
          <w:color w:val="000000" w:themeColor="text1"/>
          <w:sz w:val="72"/>
          <w:szCs w:val="72"/>
          <w:lang w:val="en-US"/>
          <w14:textFill>
            <w14:solidFill>
              <w14:schemeClr w14:val="tx1"/>
            </w14:solidFill>
          </w14:textFill>
        </w:rPr>
        <w:t>团带量</w:t>
      </w:r>
      <w:r>
        <w:rPr>
          <w:rFonts w:ascii="Times New Roman" w:hAnsi="Times New Roman" w:eastAsia="华文中宋" w:cs="Times New Roman"/>
          <w:color w:val="000000" w:themeColor="text1"/>
          <w:sz w:val="72"/>
          <w:szCs w:val="72"/>
          <w14:textFill>
            <w14:solidFill>
              <w14:schemeClr w14:val="tx1"/>
            </w14:solidFill>
          </w14:textFill>
        </w:rPr>
        <w:t>采购文件</w:t>
      </w:r>
    </w:p>
    <w:p>
      <w:pPr>
        <w:pStyle w:val="2"/>
        <w:jc w:val="center"/>
        <w:rPr>
          <w:rFonts w:hint="eastAsia" w:ascii="楷体" w:hAnsi="楷体" w:eastAsia="楷体" w:cs="楷体"/>
          <w:b/>
          <w:bCs/>
          <w:sz w:val="48"/>
          <w:szCs w:val="48"/>
          <w:lang w:eastAsia="zh-CN"/>
        </w:rPr>
      </w:pPr>
      <w:r>
        <w:rPr>
          <w:rFonts w:hint="eastAsia" w:ascii="楷体" w:hAnsi="楷体" w:eastAsia="楷体" w:cs="楷体"/>
          <w:b/>
          <w:bCs/>
          <w:color w:val="000000" w:themeColor="text1"/>
          <w:sz w:val="48"/>
          <w:szCs w:val="48"/>
          <w:lang w:eastAsia="zh-CN"/>
          <w14:textFill>
            <w14:solidFill>
              <w14:schemeClr w14:val="tx1"/>
            </w14:solidFill>
          </w14:textFill>
        </w:rPr>
        <w:t>（征求意见稿）</w:t>
      </w:r>
    </w:p>
    <w:p>
      <w:pPr>
        <w:pStyle w:val="7"/>
        <w:ind w:left="0"/>
        <w:rPr>
          <w:rFonts w:ascii="Times New Roman" w:hAnsi="Times New Roman" w:cs="Times New Roman"/>
          <w:color w:val="000000" w:themeColor="text1"/>
          <w:sz w:val="110"/>
          <w14:textFill>
            <w14:solidFill>
              <w14:schemeClr w14:val="tx1"/>
            </w14:solidFill>
          </w14:textFill>
        </w:rPr>
      </w:pPr>
    </w:p>
    <w:p>
      <w:pPr>
        <w:pStyle w:val="7"/>
        <w:ind w:left="0"/>
        <w:rPr>
          <w:rFonts w:ascii="Times New Roman" w:hAnsi="Times New Roman" w:cs="Times New Roman"/>
          <w:color w:val="000000" w:themeColor="text1"/>
          <w:sz w:val="110"/>
          <w14:textFill>
            <w14:solidFill>
              <w14:schemeClr w14:val="tx1"/>
            </w14:solidFill>
          </w14:textFill>
        </w:rPr>
      </w:pPr>
      <w:bookmarkStart w:id="43" w:name="_GoBack"/>
      <w:bookmarkEnd w:id="43"/>
    </w:p>
    <w:p>
      <w:pPr>
        <w:spacing w:line="360" w:lineRule="auto"/>
        <w:jc w:val="center"/>
        <w:rPr>
          <w:rFonts w:ascii="Times New Roman" w:hAnsi="Times New Roman" w:eastAsia="华文中宋" w:cs="Times New Roman"/>
          <w:color w:val="000000" w:themeColor="text1"/>
          <w:sz w:val="32"/>
          <w:lang w:val="en-US"/>
          <w14:textFill>
            <w14:solidFill>
              <w14:schemeClr w14:val="tx1"/>
            </w14:solidFill>
          </w14:textFill>
        </w:rPr>
      </w:pPr>
      <w:r>
        <w:rPr>
          <w:rFonts w:ascii="Times New Roman" w:hAnsi="Times New Roman" w:eastAsia="华文中宋" w:cs="Times New Roman"/>
          <w:color w:val="000000" w:themeColor="text1"/>
          <w:sz w:val="32"/>
          <w14:textFill>
            <w14:solidFill>
              <w14:schemeClr w14:val="tx1"/>
            </w14:solidFill>
          </w14:textFill>
        </w:rPr>
        <w:t>采购文件编号：GDYJYPDL20210</w:t>
      </w:r>
      <w:r>
        <w:rPr>
          <w:rFonts w:hint="eastAsia" w:ascii="Times New Roman" w:hAnsi="Times New Roman" w:eastAsia="华文中宋" w:cs="Times New Roman"/>
          <w:color w:val="000000" w:themeColor="text1"/>
          <w:sz w:val="32"/>
          <w:lang w:val="en-US"/>
          <w14:textFill>
            <w14:solidFill>
              <w14:schemeClr w14:val="tx1"/>
            </w14:solidFill>
          </w14:textFill>
        </w:rPr>
        <w:t>2</w:t>
      </w:r>
    </w:p>
    <w:p>
      <w:pPr>
        <w:pStyle w:val="7"/>
        <w:ind w:left="0"/>
        <w:rPr>
          <w:rFonts w:ascii="Times New Roman" w:hAnsi="Times New Roman" w:cs="Times New Roman"/>
          <w:color w:val="000000" w:themeColor="text1"/>
          <w:sz w:val="42"/>
          <w14:textFill>
            <w14:solidFill>
              <w14:schemeClr w14:val="tx1"/>
            </w14:solidFill>
          </w14:textFill>
        </w:rPr>
      </w:pPr>
    </w:p>
    <w:p>
      <w:pPr>
        <w:pStyle w:val="7"/>
        <w:ind w:left="0"/>
        <w:rPr>
          <w:rFonts w:ascii="Times New Roman" w:hAnsi="Times New Roman" w:cs="Times New Roman"/>
          <w:color w:val="000000" w:themeColor="text1"/>
          <w:sz w:val="42"/>
          <w14:textFill>
            <w14:solidFill>
              <w14:schemeClr w14:val="tx1"/>
            </w14:solidFill>
          </w14:textFill>
        </w:rPr>
      </w:pPr>
    </w:p>
    <w:p>
      <w:pPr>
        <w:spacing w:line="360" w:lineRule="auto"/>
        <w:jc w:val="center"/>
        <w:rPr>
          <w:rFonts w:ascii="Times New Roman" w:hAnsi="Times New Roman" w:eastAsia="华文中宋" w:cs="Times New Roman"/>
          <w:color w:val="000000" w:themeColor="text1"/>
          <w:sz w:val="32"/>
          <w14:textFill>
            <w14:solidFill>
              <w14:schemeClr w14:val="tx1"/>
            </w14:solidFill>
          </w14:textFill>
        </w:rPr>
      </w:pPr>
    </w:p>
    <w:p>
      <w:pPr>
        <w:spacing w:line="360" w:lineRule="auto"/>
        <w:jc w:val="center"/>
        <w:rPr>
          <w:rFonts w:ascii="Times New Roman" w:hAnsi="Times New Roman" w:eastAsia="华文中宋" w:cs="Times New Roman"/>
          <w:color w:val="000000" w:themeColor="text1"/>
          <w:sz w:val="32"/>
          <w14:textFill>
            <w14:solidFill>
              <w14:schemeClr w14:val="tx1"/>
            </w14:solidFill>
          </w14:textFill>
        </w:rPr>
      </w:pPr>
    </w:p>
    <w:p>
      <w:pPr>
        <w:spacing w:line="360" w:lineRule="auto"/>
        <w:jc w:val="center"/>
        <w:rPr>
          <w:rFonts w:ascii="Times New Roman" w:hAnsi="Times New Roman" w:eastAsia="华文中宋" w:cs="Times New Roman"/>
          <w:color w:val="000000" w:themeColor="text1"/>
          <w:sz w:val="32"/>
          <w14:textFill>
            <w14:solidFill>
              <w14:schemeClr w14:val="tx1"/>
            </w14:solidFill>
          </w14:textFill>
        </w:rPr>
      </w:pPr>
    </w:p>
    <w:p>
      <w:pPr>
        <w:spacing w:line="360" w:lineRule="auto"/>
        <w:jc w:val="center"/>
        <w:rPr>
          <w:rFonts w:ascii="Times New Roman" w:hAnsi="Times New Roman" w:eastAsia="华文中宋" w:cs="Times New Roman"/>
          <w:color w:val="000000" w:themeColor="text1"/>
          <w:sz w:val="32"/>
          <w14:textFill>
            <w14:solidFill>
              <w14:schemeClr w14:val="tx1"/>
            </w14:solidFill>
          </w14:textFill>
        </w:rPr>
      </w:pPr>
      <w:r>
        <w:rPr>
          <w:rFonts w:ascii="Times New Roman" w:hAnsi="Times New Roman" w:eastAsia="华文中宋" w:cs="Times New Roman"/>
          <w:color w:val="000000" w:themeColor="text1"/>
          <w:sz w:val="32"/>
          <w14:textFill>
            <w14:solidFill>
              <w14:schemeClr w14:val="tx1"/>
            </w14:solidFill>
          </w14:textFill>
        </w:rPr>
        <w:t>广东省药品交易中心</w:t>
      </w:r>
    </w:p>
    <w:p>
      <w:pPr>
        <w:spacing w:line="360" w:lineRule="auto"/>
        <w:jc w:val="center"/>
        <w:rPr>
          <w:rFonts w:ascii="Times New Roman" w:hAnsi="Times New Roman" w:eastAsia="华文中宋" w:cs="Times New Roman"/>
          <w:color w:val="000000" w:themeColor="text1"/>
          <w:sz w:val="32"/>
          <w14:textFill>
            <w14:solidFill>
              <w14:schemeClr w14:val="tx1"/>
            </w14:solidFill>
          </w14:textFill>
        </w:rPr>
      </w:pPr>
      <w:r>
        <w:rPr>
          <w:rFonts w:ascii="Times New Roman" w:hAnsi="Times New Roman" w:eastAsia="华文中宋" w:cs="Times New Roman"/>
          <w:color w:val="000000" w:themeColor="text1"/>
          <w:sz w:val="32"/>
          <w14:textFill>
            <w14:solidFill>
              <w14:schemeClr w14:val="tx1"/>
            </w14:solidFill>
          </w14:textFill>
        </w:rPr>
        <w:t>2021年</w:t>
      </w:r>
      <w:r>
        <w:rPr>
          <w:rFonts w:hint="eastAsia" w:ascii="Times New Roman" w:hAnsi="Times New Roman" w:eastAsia="华文中宋" w:cs="Times New Roman"/>
          <w:color w:val="000000" w:themeColor="text1"/>
          <w:sz w:val="32"/>
          <w:lang w:val="en-US"/>
          <w14:textFill>
            <w14:solidFill>
              <w14:schemeClr w14:val="tx1"/>
            </w14:solidFill>
          </w14:textFill>
        </w:rPr>
        <w:t>7</w:t>
      </w:r>
      <w:r>
        <w:rPr>
          <w:rFonts w:ascii="Times New Roman" w:hAnsi="Times New Roman" w:eastAsia="华文中宋" w:cs="Times New Roman"/>
          <w:color w:val="000000" w:themeColor="text1"/>
          <w:sz w:val="32"/>
          <w14:textFill>
            <w14:solidFill>
              <w14:schemeClr w14:val="tx1"/>
            </w14:solidFill>
          </w14:textFill>
        </w:rPr>
        <w:t>月</w:t>
      </w:r>
    </w:p>
    <w:p>
      <w:pPr>
        <w:rPr>
          <w:rFonts w:ascii="Times New Roman" w:hAnsi="Times New Roman" w:eastAsia="华文中宋" w:cs="Times New Roman"/>
          <w:color w:val="000000" w:themeColor="text1"/>
          <w:sz w:val="32"/>
          <w14:textFill>
            <w14:solidFill>
              <w14:schemeClr w14:val="tx1"/>
            </w14:solidFill>
          </w14:textFill>
        </w:rPr>
      </w:pPr>
      <w:r>
        <w:rPr>
          <w:rFonts w:ascii="Times New Roman" w:hAnsi="Times New Roman" w:eastAsia="华文中宋" w:cs="Times New Roman"/>
          <w:color w:val="000000" w:themeColor="text1"/>
          <w:sz w:val="32"/>
          <w14:textFill>
            <w14:solidFill>
              <w14:schemeClr w14:val="tx1"/>
            </w14:solidFill>
          </w14:textFill>
        </w:rPr>
        <w:br w:type="page"/>
      </w:r>
    </w:p>
    <w:p>
      <w:pPr>
        <w:pStyle w:val="2"/>
        <w:rPr>
          <w:rFonts w:hint="default" w:ascii="Times New Roman" w:hAnsi="Times New Roman"/>
          <w:color w:val="000000" w:themeColor="text1"/>
          <w14:textFill>
            <w14:solidFill>
              <w14:schemeClr w14:val="tx1"/>
            </w14:solidFill>
          </w14:textFill>
        </w:rPr>
      </w:pPr>
    </w:p>
    <w:p>
      <w:pPr>
        <w:pStyle w:val="12"/>
        <w:tabs>
          <w:tab w:val="right" w:leader="dot" w:pos="9836"/>
        </w:tabs>
        <w:spacing w:line="480" w:lineRule="exact"/>
        <w:ind w:left="44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44"/>
          <w:szCs w:val="44"/>
          <w14:textFill>
            <w14:solidFill>
              <w14:schemeClr w14:val="tx1"/>
            </w14:solidFill>
          </w14:textFill>
        </w:rPr>
        <w:t>目</w:t>
      </w:r>
      <w:r>
        <w:rPr>
          <w:rFonts w:ascii="Times New Roman" w:hAnsi="Times New Roman" w:eastAsia="黑体" w:cs="Times New Roman"/>
          <w:color w:val="000000" w:themeColor="text1"/>
          <w:sz w:val="44"/>
          <w:szCs w:val="44"/>
          <w:lang w:val="en-US"/>
          <w14:textFill>
            <w14:solidFill>
              <w14:schemeClr w14:val="tx1"/>
            </w14:solidFill>
          </w14:textFill>
        </w:rPr>
        <w:t xml:space="preserve">  </w:t>
      </w:r>
      <w:r>
        <w:rPr>
          <w:rFonts w:ascii="Times New Roman" w:hAnsi="Times New Roman" w:eastAsia="黑体" w:cs="Times New Roman"/>
          <w:color w:val="000000" w:themeColor="text1"/>
          <w:sz w:val="44"/>
          <w:szCs w:val="44"/>
          <w14:textFill>
            <w14:solidFill>
              <w14:schemeClr w14:val="tx1"/>
            </w14:solidFill>
          </w14:textFill>
        </w:rPr>
        <w:t>录</w:t>
      </w: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TOC \o "1-2" \h \u </w:instrText>
      </w:r>
      <w:r>
        <w:rPr>
          <w:rFonts w:ascii="Times New Roman" w:hAnsi="Times New Roman" w:cs="Times New Roman"/>
          <w:color w:val="000000" w:themeColor="text1"/>
          <w:sz w:val="24"/>
          <w:szCs w:val="24"/>
          <w14:textFill>
            <w14:solidFill>
              <w14:schemeClr w14:val="tx1"/>
            </w14:solidFill>
          </w14:textFill>
        </w:rPr>
        <w:fldChar w:fldCharType="separate"/>
      </w:r>
    </w:p>
    <w:p>
      <w:pPr>
        <w:pStyle w:val="11"/>
        <w:tabs>
          <w:tab w:val="right" w:leader="dot" w:pos="9836"/>
        </w:tabs>
        <w:spacing w:line="360" w:lineRule="exact"/>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"_Toc7563" </w:instrText>
      </w:r>
      <w:r>
        <w:fldChar w:fldCharType="separate"/>
      </w:r>
      <w:r>
        <w:rPr>
          <w:rFonts w:ascii="Times New Roman" w:hAnsi="Times New Roman" w:cs="Times New Roman"/>
          <w:b/>
          <w:bCs/>
          <w:color w:val="000000" w:themeColor="text1"/>
          <w:sz w:val="24"/>
          <w:szCs w:val="24"/>
          <w:lang w:val="en-US"/>
          <w14:textFill>
            <w14:solidFill>
              <w14:schemeClr w14:val="tx1"/>
            </w14:solidFill>
          </w14:textFill>
        </w:rPr>
        <w:t>第一部分 采购邀请</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-1</w:t>
      </w:r>
      <w:r>
        <w:rPr>
          <w:rFonts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"_Toc16678" </w:instrText>
      </w:r>
      <w:r>
        <w:fldChar w:fldCharType="separate"/>
      </w:r>
      <w:r>
        <w:rPr>
          <w:rFonts w:ascii="Times New Roman" w:hAnsi="Times New Roman" w:cs="Times New Roman"/>
          <w:color w:val="000000" w:themeColor="text1"/>
          <w:sz w:val="24"/>
          <w:szCs w:val="24"/>
          <w:lang w:val="en-US"/>
          <w14:textFill>
            <w14:solidFill>
              <w14:schemeClr w14:val="tx1"/>
            </w14:solidFill>
          </w14:textFill>
        </w:rPr>
        <w:t>一、参与采购主体</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-1</w:t>
      </w:r>
      <w:r>
        <w:rPr>
          <w:rFonts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"_Toc26433" </w:instrText>
      </w:r>
      <w:r>
        <w:fldChar w:fldCharType="separate"/>
      </w:r>
      <w:r>
        <w:rPr>
          <w:rFonts w:ascii="Times New Roman" w:hAnsi="Times New Roman" w:cs="Times New Roman"/>
          <w:color w:val="000000" w:themeColor="text1"/>
          <w:sz w:val="24"/>
          <w:szCs w:val="24"/>
          <w:lang w:val="en-US"/>
          <w14:textFill>
            <w14:solidFill>
              <w14:schemeClr w14:val="tx1"/>
            </w14:solidFill>
          </w14:textFill>
        </w:rPr>
        <w:t>二、品种范围</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-1</w:t>
      </w:r>
      <w:r>
        <w:rPr>
          <w:rFonts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"_Toc18524" </w:instrText>
      </w:r>
      <w:r>
        <w:fldChar w:fldCharType="separate"/>
      </w:r>
      <w:r>
        <w:rPr>
          <w:rFonts w:ascii="Times New Roman" w:hAnsi="Times New Roman" w:cs="Times New Roman"/>
          <w:color w:val="000000" w:themeColor="text1"/>
          <w:sz w:val="24"/>
          <w:szCs w:val="24"/>
          <w:lang w:val="en-US"/>
          <w14:textFill>
            <w14:solidFill>
              <w14:schemeClr w14:val="tx1"/>
            </w14:solidFill>
          </w14:textFill>
        </w:rPr>
        <w:t>三、采购周期和采购协议</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-1</w:t>
      </w:r>
      <w:r>
        <w:rPr>
          <w:rFonts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"_Toc22582" </w:instrText>
      </w:r>
      <w:r>
        <w:fldChar w:fldCharType="separate"/>
      </w:r>
      <w:r>
        <w:rPr>
          <w:rFonts w:ascii="Times New Roman" w:hAnsi="Times New Roman" w:cs="Times New Roman"/>
          <w:color w:val="000000" w:themeColor="text1"/>
          <w:sz w:val="24"/>
          <w:szCs w:val="24"/>
          <w:lang w:val="en-US"/>
          <w14:textFill>
            <w14:solidFill>
              <w14:schemeClr w14:val="tx1"/>
            </w14:solidFill>
          </w14:textFill>
        </w:rPr>
        <w:t>四、申报资格</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t>2</w:t>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"_Toc18136" </w:instrText>
      </w:r>
      <w:r>
        <w:fldChar w:fldCharType="separate"/>
      </w:r>
      <w:r>
        <w:rPr>
          <w:rFonts w:ascii="Times New Roman" w:hAnsi="Times New Roman" w:cs="Times New Roman"/>
          <w:color w:val="000000" w:themeColor="text1"/>
          <w:sz w:val="24"/>
          <w:szCs w:val="24"/>
          <w:lang w:val="en-US"/>
          <w14:textFill>
            <w14:solidFill>
              <w14:schemeClr w14:val="tx1"/>
            </w14:solidFill>
          </w14:textFill>
        </w:rPr>
        <w:t>五、采购产品清单</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-3</w:t>
      </w:r>
      <w:r>
        <w:rPr>
          <w:rFonts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"_Toc14670" </w:instrText>
      </w:r>
      <w:r>
        <w:fldChar w:fldCharType="separate"/>
      </w:r>
      <w:r>
        <w:rPr>
          <w:rFonts w:ascii="Times New Roman" w:hAnsi="Times New Roman" w:cs="Times New Roman"/>
          <w:color w:val="000000" w:themeColor="text1"/>
          <w:sz w:val="24"/>
          <w:szCs w:val="24"/>
          <w:lang w:val="en-US"/>
          <w14:textFill>
            <w14:solidFill>
              <w14:schemeClr w14:val="tx1"/>
            </w14:solidFill>
          </w14:textFill>
        </w:rPr>
        <w:t>六、采购执行说明</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5</w:t>
      </w:r>
      <w:r>
        <w:rPr>
          <w:rFonts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"_Toc7178" </w:instrText>
      </w:r>
      <w:r>
        <w:fldChar w:fldCharType="separate"/>
      </w:r>
      <w:r>
        <w:rPr>
          <w:rFonts w:ascii="Times New Roman" w:hAnsi="Times New Roman" w:cs="Times New Roman"/>
          <w:color w:val="000000" w:themeColor="text1"/>
          <w:sz w:val="24"/>
          <w:szCs w:val="24"/>
          <w:lang w:val="en-US"/>
          <w14:textFill>
            <w14:solidFill>
              <w14:schemeClr w14:val="tx1"/>
            </w14:solidFill>
          </w14:textFill>
        </w:rPr>
        <w:t>七、采购文件获取方式</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t>5</w:t>
      </w:r>
      <w:r>
        <w:rPr>
          <w:rFonts w:hint="eastAsia"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"_Toc7178" </w:instrText>
      </w:r>
      <w:r>
        <w:fldChar w:fldCharType="separate"/>
      </w:r>
      <w:r>
        <w:rPr>
          <w:rFonts w:ascii="Times New Roman" w:hAnsi="Times New Roman" w:cs="Times New Roman"/>
          <w:color w:val="000000" w:themeColor="text1"/>
          <w:sz w:val="24"/>
          <w:szCs w:val="24"/>
          <w:lang w:val="en-US"/>
          <w14:textFill>
            <w14:solidFill>
              <w14:schemeClr w14:val="tx1"/>
            </w14:solidFill>
          </w14:textFill>
        </w:rPr>
        <w:t>八、报名方式和截止时间</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t>5</w:t>
      </w:r>
      <w:r>
        <w:rPr>
          <w:rFonts w:hint="eastAsia"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"_Toc9710" </w:instrText>
      </w:r>
      <w:r>
        <w:fldChar w:fldCharType="separate"/>
      </w:r>
      <w:r>
        <w:rPr>
          <w:rFonts w:ascii="Times New Roman" w:hAnsi="Times New Roman" w:cs="Times New Roman"/>
          <w:color w:val="000000" w:themeColor="text1"/>
          <w:sz w:val="24"/>
          <w:szCs w:val="24"/>
          <w:lang w:val="en-US"/>
          <w14:textFill>
            <w14:solidFill>
              <w14:schemeClr w14:val="tx1"/>
            </w14:solidFill>
          </w14:textFill>
        </w:rPr>
        <w:t>九、报价安排和时间</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5-</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"_Toc4266" </w:instrText>
      </w:r>
      <w:r>
        <w:fldChar w:fldCharType="separate"/>
      </w:r>
      <w:r>
        <w:rPr>
          <w:rFonts w:ascii="Times New Roman" w:hAnsi="Times New Roman" w:cs="Times New Roman"/>
          <w:color w:val="000000" w:themeColor="text1"/>
          <w:sz w:val="24"/>
          <w:szCs w:val="24"/>
          <w:lang w:val="en-US"/>
          <w14:textFill>
            <w14:solidFill>
              <w14:schemeClr w14:val="tx1"/>
            </w14:solidFill>
          </w14:textFill>
        </w:rPr>
        <w:t>十、信息公开方式</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-5</w:t>
      </w:r>
      <w:r>
        <w:rPr>
          <w:rFonts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"_Toc6958" </w:instrText>
      </w:r>
      <w:r>
        <w:fldChar w:fldCharType="separate"/>
      </w:r>
      <w:r>
        <w:rPr>
          <w:rFonts w:ascii="Times New Roman" w:hAnsi="Times New Roman" w:cs="Times New Roman"/>
          <w:color w:val="000000" w:themeColor="text1"/>
          <w:sz w:val="24"/>
          <w:szCs w:val="24"/>
          <w:lang w:val="en-US"/>
          <w14:textFill>
            <w14:solidFill>
              <w14:schemeClr w14:val="tx1"/>
            </w14:solidFill>
          </w14:textFill>
        </w:rPr>
        <w:t>十一、联系方式</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6</w:t>
      </w:r>
      <w:r>
        <w:rPr>
          <w:rFonts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"_Toc12204" </w:instrText>
      </w:r>
      <w:r>
        <w:fldChar w:fldCharType="separate"/>
      </w:r>
      <w:r>
        <w:rPr>
          <w:rFonts w:ascii="Times New Roman" w:hAnsi="Times New Roman" w:cs="Times New Roman"/>
          <w:color w:val="000000" w:themeColor="text1"/>
          <w:sz w:val="24"/>
          <w:szCs w:val="24"/>
          <w:lang w:val="en-US"/>
          <w14:textFill>
            <w14:solidFill>
              <w14:schemeClr w14:val="tx1"/>
            </w14:solidFill>
          </w14:textFill>
        </w:rPr>
        <w:t>十二、其他</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t>6</w:t>
      </w:r>
      <w:r>
        <w:rPr>
          <w:rFonts w:hint="eastAsia"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w:t>
      </w:r>
    </w:p>
    <w:p>
      <w:pPr>
        <w:pStyle w:val="11"/>
        <w:tabs>
          <w:tab w:val="right" w:leader="dot" w:pos="9836"/>
        </w:tabs>
        <w:spacing w:line="360" w:lineRule="exact"/>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"_Toc23482" </w:instrText>
      </w:r>
      <w:r>
        <w:fldChar w:fldCharType="separate"/>
      </w:r>
      <w:r>
        <w:rPr>
          <w:rFonts w:ascii="Times New Roman" w:hAnsi="Times New Roman" w:cs="Times New Roman"/>
          <w:b/>
          <w:bCs/>
          <w:color w:val="000000" w:themeColor="text1"/>
          <w:sz w:val="24"/>
          <w:szCs w:val="24"/>
          <w14:textFill>
            <w14:solidFill>
              <w14:schemeClr w14:val="tx1"/>
            </w14:solidFill>
          </w14:textFill>
        </w:rPr>
        <w:t>第二部分 申报企业须知</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t>7</w:t>
      </w:r>
      <w:r>
        <w:rPr>
          <w:rFonts w:hint="eastAsia"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"_Toc29906" </w:instrText>
      </w:r>
      <w:r>
        <w:fldChar w:fldCharType="separate"/>
      </w:r>
      <w:r>
        <w:rPr>
          <w:rFonts w:ascii="Times New Roman" w:hAnsi="Times New Roman" w:cs="Times New Roman"/>
          <w:color w:val="000000" w:themeColor="text1"/>
          <w:sz w:val="24"/>
          <w:szCs w:val="24"/>
          <w14:textFill>
            <w14:solidFill>
              <w14:schemeClr w14:val="tx1"/>
            </w14:solidFill>
          </w14:textFill>
        </w:rPr>
        <w:t>一、集团带量采购当事人</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t>7</w:t>
      </w:r>
      <w:r>
        <w:rPr>
          <w:rFonts w:hint="eastAsia"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"_Toc11647" </w:instrText>
      </w:r>
      <w:r>
        <w:fldChar w:fldCharType="separate"/>
      </w:r>
      <w:r>
        <w:rPr>
          <w:rFonts w:ascii="Times New Roman" w:hAnsi="Times New Roman" w:cs="Times New Roman"/>
          <w:color w:val="000000" w:themeColor="text1"/>
          <w:sz w:val="24"/>
          <w:szCs w:val="24"/>
          <w14:textFill>
            <w14:solidFill>
              <w14:schemeClr w14:val="tx1"/>
            </w14:solidFill>
          </w14:textFill>
        </w:rPr>
        <w:t>二、申报材料</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t>8</w:t>
      </w:r>
      <w:r>
        <w:rPr>
          <w:rFonts w:hint="eastAsia"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"_Toc3599" </w:instrText>
      </w:r>
      <w:r>
        <w:fldChar w:fldCharType="separate"/>
      </w:r>
      <w:r>
        <w:rPr>
          <w:rFonts w:ascii="Times New Roman" w:hAnsi="Times New Roman" w:cs="Times New Roman"/>
          <w:color w:val="000000" w:themeColor="text1"/>
          <w:sz w:val="24"/>
          <w:szCs w:val="24"/>
          <w14:textFill>
            <w14:solidFill>
              <w14:schemeClr w14:val="tx1"/>
            </w14:solidFill>
          </w14:textFill>
        </w:rPr>
        <w:t>三、</w:t>
      </w:r>
      <w:r>
        <w:rPr>
          <w:rFonts w:hint="eastAsia" w:ascii="Times New Roman" w:hAnsi="Times New Roman" w:cs="Times New Roman"/>
          <w:color w:val="000000" w:themeColor="text1"/>
          <w:sz w:val="24"/>
          <w:szCs w:val="24"/>
          <w14:textFill>
            <w14:solidFill>
              <w14:schemeClr w14:val="tx1"/>
            </w14:solidFill>
          </w14:textFill>
        </w:rPr>
        <w:t>企业</w:t>
      </w:r>
      <w:r>
        <w:rPr>
          <w:rFonts w:hint="eastAsia" w:ascii="Times New Roman" w:hAnsi="Times New Roman" w:cs="Times New Roman"/>
          <w:color w:val="000000" w:themeColor="text1"/>
          <w:sz w:val="24"/>
          <w:szCs w:val="24"/>
          <w:lang w:val="en-US"/>
          <w14:textFill>
            <w14:solidFill>
              <w14:schemeClr w14:val="tx1"/>
            </w14:solidFill>
          </w14:textFill>
        </w:rPr>
        <w:t>梯级</w:t>
      </w:r>
      <w:r>
        <w:rPr>
          <w:rFonts w:hint="eastAsia" w:ascii="Times New Roman" w:hAnsi="Times New Roman" w:cs="Times New Roman"/>
          <w:color w:val="000000" w:themeColor="text1"/>
          <w:sz w:val="24"/>
          <w:szCs w:val="24"/>
          <w14:textFill>
            <w14:solidFill>
              <w14:schemeClr w14:val="tx1"/>
            </w14:solidFill>
          </w14:textFill>
        </w:rPr>
        <w:t>报价</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t>9</w:t>
      </w:r>
      <w:r>
        <w:rPr>
          <w:rFonts w:hint="eastAsia"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pPr>
      <w:r>
        <w:fldChar w:fldCharType="begin"/>
      </w:r>
      <w:r>
        <w:instrText xml:space="preserve"> HYPERLINK \l "_Toc3599" </w:instrText>
      </w:r>
      <w:r>
        <w:fldChar w:fldCharType="separate"/>
      </w:r>
      <w:r>
        <w:rPr>
          <w:rFonts w:hint="eastAsia" w:ascii="Times New Roman" w:hAnsi="Times New Roman" w:cs="Times New Roman"/>
          <w:color w:val="000000" w:themeColor="text1"/>
          <w:sz w:val="24"/>
          <w:szCs w:val="24"/>
          <w:lang w:val="en-US"/>
          <w14:textFill>
            <w14:solidFill>
              <w14:schemeClr w14:val="tx1"/>
            </w14:solidFill>
          </w14:textFill>
        </w:rPr>
        <w:t>四</w:t>
      </w:r>
      <w:r>
        <w:rPr>
          <w:rFonts w:ascii="Times New Roman" w:hAnsi="Times New Roman" w:cs="Times New Roman"/>
          <w:color w:val="000000" w:themeColor="text1"/>
          <w:sz w:val="24"/>
          <w:szCs w:val="24"/>
          <w14:textFill>
            <w14:solidFill>
              <w14:schemeClr w14:val="tx1"/>
            </w14:solidFill>
          </w14:textFill>
        </w:rPr>
        <w:t>、报价信息解密</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t>1</w:t>
      </w:r>
      <w:r>
        <w:rPr>
          <w:rFonts w:hint="eastAsia" w:ascii="Times New Roman" w:hAnsi="Times New Roman" w:cs="Times New Roman"/>
          <w:color w:val="000000" w:themeColor="text1"/>
          <w:sz w:val="24"/>
          <w:szCs w:val="24"/>
          <w:lang w:val="en-US"/>
          <w14:textFill>
            <w14:solidFill>
              <w14:schemeClr w14:val="tx1"/>
            </w14:solidFill>
          </w14:textFill>
        </w:rPr>
        <w:fldChar w:fldCharType="end"/>
      </w:r>
      <w:r>
        <w:rPr>
          <w:rFonts w:hint="eastAsia" w:ascii="Times New Roman" w:hAnsi="Times New Roman" w:cs="Times New Roman"/>
          <w:color w:val="000000" w:themeColor="text1"/>
          <w:sz w:val="24"/>
          <w:szCs w:val="24"/>
          <w:lang w:val="en-US"/>
          <w14:textFill>
            <w14:solidFill>
              <w14:schemeClr w14:val="tx1"/>
            </w14:solidFill>
          </w14:textFill>
        </w:rPr>
        <w:t>1</w:t>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"_Toc18760" </w:instrText>
      </w:r>
      <w:r>
        <w:fldChar w:fldCharType="separate"/>
      </w:r>
      <w:r>
        <w:rPr>
          <w:rFonts w:hint="eastAsia" w:ascii="Times New Roman" w:hAnsi="Times New Roman" w:cs="Times New Roman"/>
          <w:color w:val="000000" w:themeColor="text1"/>
          <w:sz w:val="24"/>
          <w:szCs w:val="24"/>
          <w:lang w:val="en-US"/>
          <w14:textFill>
            <w14:solidFill>
              <w14:schemeClr w14:val="tx1"/>
            </w14:solidFill>
          </w14:textFill>
        </w:rPr>
        <w:t>五</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t>拟中选产品确定</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ascii="Times New Roman" w:hAnsi="Times New Roman" w:cs="Times New Roman"/>
          <w:color w:val="000000" w:themeColor="text1"/>
          <w:sz w:val="24"/>
          <w:szCs w:val="24"/>
          <w:lang w:val="en-US"/>
          <w14:textFill>
            <w14:solidFill>
              <w14:schemeClr w14:val="tx1"/>
            </w14:solidFill>
          </w14:textFill>
        </w:rPr>
        <w:fldChar w:fldCharType="end"/>
      </w:r>
      <w:r>
        <w:rPr>
          <w:rFonts w:hint="eastAsia" w:ascii="Times New Roman" w:hAnsi="Times New Roman" w:cs="Times New Roman"/>
          <w:color w:val="000000" w:themeColor="text1"/>
          <w:sz w:val="24"/>
          <w:szCs w:val="24"/>
          <w:lang w:val="en-US"/>
          <w14:textFill>
            <w14:solidFill>
              <w14:schemeClr w14:val="tx1"/>
            </w14:solidFill>
          </w14:textFill>
        </w:rPr>
        <w:t>11</w:t>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"_Toc18760" </w:instrText>
      </w:r>
      <w:r>
        <w:fldChar w:fldCharType="separate"/>
      </w:r>
      <w:r>
        <w:rPr>
          <w:rFonts w:hint="eastAsia" w:ascii="Times New Roman" w:hAnsi="Times New Roman" w:cs="Times New Roman"/>
          <w:color w:val="000000" w:themeColor="text1"/>
          <w:sz w:val="24"/>
          <w:szCs w:val="24"/>
          <w:lang w:val="en-US"/>
          <w14:textFill>
            <w14:solidFill>
              <w14:schemeClr w14:val="tx1"/>
            </w14:solidFill>
          </w14:textFill>
        </w:rPr>
        <w:t>六、采购协议</w:t>
      </w:r>
      <w:r>
        <w:rPr>
          <w:rFonts w:hint="eastAsia" w:ascii="Times New Roman" w:hAnsi="Times New Roman" w:cs="Times New Roman"/>
          <w:color w:val="000000" w:themeColor="text1"/>
          <w:sz w:val="24"/>
          <w:szCs w:val="24"/>
          <w:lang w:val="en-US"/>
          <w14:textFill>
            <w14:solidFill>
              <w14:schemeClr w14:val="tx1"/>
            </w14:solidFill>
          </w14:textFill>
        </w:rPr>
        <w:tab/>
      </w:r>
      <w:r>
        <w:rPr>
          <w:rFonts w:hint="eastAsia" w:ascii="Times New Roman" w:hAnsi="Times New Roman" w:cs="Times New Roman"/>
          <w:color w:val="000000" w:themeColor="text1"/>
          <w:sz w:val="24"/>
          <w:szCs w:val="24"/>
          <w:lang w:val="en-US"/>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fldChar w:fldCharType="end"/>
      </w:r>
      <w:r>
        <w:rPr>
          <w:rFonts w:hint="eastAsia" w:ascii="Times New Roman" w:hAnsi="Times New Roman" w:cs="Times New Roman"/>
          <w:color w:val="000000" w:themeColor="text1"/>
          <w:sz w:val="24"/>
          <w:szCs w:val="24"/>
          <w:lang w:val="en-US"/>
          <w14:textFill>
            <w14:solidFill>
              <w14:schemeClr w14:val="tx1"/>
            </w14:solidFill>
          </w14:textFill>
        </w:rPr>
        <w:t>15-</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"_Toc18760" </w:instrText>
      </w:r>
      <w:r>
        <w:fldChar w:fldCharType="separate"/>
      </w:r>
      <w:r>
        <w:rPr>
          <w:rFonts w:hint="eastAsia" w:ascii="Times New Roman" w:hAnsi="Times New Roman" w:cs="Times New Roman"/>
          <w:color w:val="000000" w:themeColor="text1"/>
          <w:sz w:val="24"/>
          <w:szCs w:val="24"/>
          <w:lang w:val="en-US"/>
          <w14:textFill>
            <w14:solidFill>
              <w14:schemeClr w14:val="tx1"/>
            </w14:solidFill>
          </w14:textFill>
        </w:rPr>
        <w:t>七、</w:t>
      </w:r>
      <w:r>
        <w:rPr>
          <w:rFonts w:ascii="Times New Roman" w:hAnsi="Times New Roman" w:cs="Times New Roman"/>
          <w:color w:val="000000" w:themeColor="text1"/>
          <w:sz w:val="24"/>
          <w:szCs w:val="24"/>
          <w:lang w:val="en-US"/>
          <w14:textFill>
            <w14:solidFill>
              <w14:schemeClr w14:val="tx1"/>
            </w14:solidFill>
          </w14:textFill>
        </w:rPr>
        <w:t>其他</w:t>
      </w:r>
      <w:r>
        <w:rPr>
          <w:rFonts w:hint="eastAsia" w:ascii="Times New Roman" w:hAnsi="Times New Roman" w:cs="Times New Roman"/>
          <w:color w:val="000000" w:themeColor="text1"/>
          <w:sz w:val="24"/>
          <w:szCs w:val="24"/>
          <w:lang w:val="en-US"/>
          <w14:textFill>
            <w14:solidFill>
              <w14:schemeClr w14:val="tx1"/>
            </w14:solidFill>
          </w14:textFill>
        </w:rPr>
        <w:tab/>
      </w:r>
      <w:r>
        <w:rPr>
          <w:rFonts w:hint="eastAsia" w:ascii="Times New Roman" w:hAnsi="Times New Roman" w:cs="Times New Roman"/>
          <w:color w:val="000000" w:themeColor="text1"/>
          <w:sz w:val="24"/>
          <w:szCs w:val="24"/>
          <w:lang w:val="en-US"/>
          <w14:textFill>
            <w14:solidFill>
              <w14:schemeClr w14:val="tx1"/>
            </w14:solidFill>
          </w14:textFill>
        </w:rPr>
        <w:t>-15</w:t>
      </w:r>
      <w:r>
        <w:rPr>
          <w:rFonts w:hint="eastAsia"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w:t>
      </w:r>
    </w:p>
    <w:p>
      <w:pPr>
        <w:pStyle w:val="11"/>
        <w:tabs>
          <w:tab w:val="right" w:leader="dot" w:pos="9836"/>
        </w:tabs>
        <w:spacing w:line="360" w:lineRule="exact"/>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"_Toc19152" </w:instrText>
      </w:r>
      <w:r>
        <w:fldChar w:fldCharType="separate"/>
      </w:r>
      <w:r>
        <w:rPr>
          <w:rFonts w:ascii="Times New Roman" w:hAnsi="Times New Roman" w:cs="Times New Roman"/>
          <w:b/>
          <w:bCs/>
          <w:color w:val="000000" w:themeColor="text1"/>
          <w:sz w:val="24"/>
          <w:szCs w:val="24"/>
          <w14:textFill>
            <w14:solidFill>
              <w14:schemeClr w14:val="tx1"/>
            </w14:solidFill>
          </w14:textFill>
        </w:rPr>
        <w:t>第三部分 附件</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-1</w:t>
      </w:r>
      <w:r>
        <w:rPr>
          <w:rFonts w:ascii="Times New Roman" w:hAnsi="Times New Roman" w:cs="Times New Roman"/>
          <w:color w:val="000000" w:themeColor="text1"/>
          <w:sz w:val="24"/>
          <w:szCs w:val="24"/>
          <w:lang w:val="en-US"/>
          <w14:textFill>
            <w14:solidFill>
              <w14:schemeClr w14:val="tx1"/>
            </w14:solidFill>
          </w14:textFill>
        </w:rPr>
        <w:fldChar w:fldCharType="end"/>
      </w:r>
      <w:r>
        <w:rPr>
          <w:rFonts w:hint="eastAsia" w:ascii="Times New Roman" w:hAnsi="Times New Roman" w:cs="Times New Roman"/>
          <w:color w:val="000000" w:themeColor="text1"/>
          <w:sz w:val="24"/>
          <w:szCs w:val="24"/>
          <w:lang w:val="en-US"/>
          <w14:textFill>
            <w14:solidFill>
              <w14:schemeClr w14:val="tx1"/>
            </w14:solidFill>
          </w14:textFill>
        </w:rPr>
        <w:t>7</w:t>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pos="2800"/>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"_Toc23586" </w:instrText>
      </w:r>
      <w:r>
        <w:fldChar w:fldCharType="separate"/>
      </w:r>
      <w:r>
        <w:rPr>
          <w:rFonts w:ascii="Times New Roman" w:hAnsi="Times New Roman" w:cs="Times New Roman"/>
          <w:color w:val="000000" w:themeColor="text1"/>
          <w:sz w:val="24"/>
          <w:szCs w:val="24"/>
          <w:lang w:val="en-US"/>
          <w14:textFill>
            <w14:solidFill>
              <w14:schemeClr w14:val="tx1"/>
            </w14:solidFill>
          </w14:textFill>
        </w:rPr>
        <w:t>附件1</w:t>
      </w:r>
      <w:r>
        <w:rPr>
          <w:rFonts w:ascii="Times New Roman" w:hAnsi="Times New Roman" w:cs="Times New Roman"/>
          <w:color w:val="000000" w:themeColor="text1"/>
          <w:sz w:val="24"/>
          <w:szCs w:val="24"/>
          <w:lang w:val="en-US"/>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 xml:space="preserve"> 医药企业价格和营销行为信用承诺书</w:t>
      </w:r>
      <w:r>
        <w:rPr>
          <w:rFonts w:ascii="Times New Roman" w:hAnsi="Times New Roman" w:cs="Times New Roman"/>
          <w:color w:val="000000" w:themeColor="text1"/>
          <w:sz w:val="24"/>
          <w:szCs w:val="24"/>
          <w:lang w:val="en-US"/>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-1</w:t>
      </w:r>
      <w:r>
        <w:rPr>
          <w:rFonts w:ascii="Times New Roman" w:hAnsi="Times New Roman" w:cs="Times New Roman"/>
          <w:color w:val="000000" w:themeColor="text1"/>
          <w:sz w:val="24"/>
          <w:szCs w:val="24"/>
          <w:lang w:val="en-US"/>
          <w14:textFill>
            <w14:solidFill>
              <w14:schemeClr w14:val="tx1"/>
            </w14:solidFill>
          </w14:textFill>
        </w:rPr>
        <w:fldChar w:fldCharType="end"/>
      </w:r>
      <w:r>
        <w:rPr>
          <w:rFonts w:hint="eastAsia" w:ascii="Times New Roman" w:hAnsi="Times New Roman" w:cs="Times New Roman"/>
          <w:color w:val="000000" w:themeColor="text1"/>
          <w:sz w:val="24"/>
          <w:szCs w:val="24"/>
          <w:lang w:val="en-US"/>
          <w14:textFill>
            <w14:solidFill>
              <w14:schemeClr w14:val="tx1"/>
            </w14:solidFill>
          </w14:textFill>
        </w:rPr>
        <w:t>7</w:t>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pos="2800"/>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fldChar w:fldCharType="begin"/>
      </w:r>
      <w:r>
        <w:instrText xml:space="preserve"> HYPERLINK \l "_Toc23586" </w:instrText>
      </w:r>
      <w:r>
        <w:fldChar w:fldCharType="separate"/>
      </w:r>
      <w:r>
        <w:rPr>
          <w:rFonts w:ascii="Times New Roman" w:hAnsi="Times New Roman" w:cs="Times New Roman"/>
          <w:color w:val="000000" w:themeColor="text1"/>
          <w:sz w:val="24"/>
          <w:szCs w:val="24"/>
          <w:lang w:val="en-US"/>
          <w14:textFill>
            <w14:solidFill>
              <w14:schemeClr w14:val="tx1"/>
            </w14:solidFill>
          </w14:textFill>
        </w:rPr>
        <w:t xml:space="preserve">附件2 </w:t>
      </w:r>
      <w:r>
        <w:rPr>
          <w:rFonts w:ascii="Times New Roman" w:hAnsi="Times New Roman" w:cs="Times New Roman"/>
          <w:color w:val="000000" w:themeColor="text1"/>
          <w:sz w:val="24"/>
          <w:szCs w:val="24"/>
          <w:lang w:val="en-US"/>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联盟地区药品集团带量采购购销合同</w:t>
      </w:r>
      <w:r>
        <w:rPr>
          <w:rFonts w:ascii="Times New Roman" w:hAnsi="Times New Roman" w:cs="Times New Roman"/>
          <w:color w:val="000000" w:themeColor="text1"/>
          <w:sz w:val="24"/>
          <w:szCs w:val="24"/>
          <w:lang w:val="en-US"/>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ascii="Times New Roman" w:hAnsi="Times New Roman" w:cs="Times New Roman"/>
          <w:color w:val="000000" w:themeColor="text1"/>
          <w:sz w:val="24"/>
          <w:szCs w:val="24"/>
          <w:lang w:val="en-US"/>
          <w14:textFill>
            <w14:solidFill>
              <w14:schemeClr w14:val="tx1"/>
            </w14:solidFill>
          </w14:textFill>
        </w:rPr>
        <w:fldChar w:fldCharType="end"/>
      </w:r>
      <w:r>
        <w:rPr>
          <w:rFonts w:hint="eastAsia" w:ascii="Times New Roman" w:hAnsi="Times New Roman" w:cs="Times New Roman"/>
          <w:color w:val="000000" w:themeColor="text1"/>
          <w:sz w:val="24"/>
          <w:szCs w:val="24"/>
          <w:lang w:val="en-US"/>
          <w14:textFill>
            <w14:solidFill>
              <w14:schemeClr w14:val="tx1"/>
            </w14:solidFill>
          </w14:textFill>
        </w:rPr>
        <w:t>20</w:t>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pos="2800"/>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fldChar w:fldCharType="end"/>
      </w:r>
      <w:r>
        <w:fldChar w:fldCharType="begin"/>
      </w:r>
      <w:r>
        <w:instrText xml:space="preserve"> HYPERLINK \l "_Toc23586" </w:instrText>
      </w:r>
      <w:r>
        <w:fldChar w:fldCharType="separate"/>
      </w:r>
      <w:r>
        <w:rPr>
          <w:rFonts w:ascii="Times New Roman" w:hAnsi="Times New Roman" w:cs="Times New Roman"/>
          <w:color w:val="000000" w:themeColor="text1"/>
          <w:sz w:val="24"/>
          <w:szCs w:val="24"/>
          <w:lang w:val="en-US"/>
          <w14:textFill>
            <w14:solidFill>
              <w14:schemeClr w14:val="tx1"/>
            </w14:solidFill>
          </w14:textFill>
        </w:rPr>
        <w:t>附</w:t>
      </w:r>
      <w:r>
        <w:rPr>
          <w:rFonts w:hint="eastAsia" w:ascii="Times New Roman" w:hAnsi="Times New Roman" w:cs="Times New Roman"/>
          <w:color w:val="000000" w:themeColor="text1"/>
          <w:sz w:val="24"/>
          <w:szCs w:val="24"/>
          <w:lang w:val="en-US"/>
          <w14:textFill>
            <w14:solidFill>
              <w14:schemeClr w14:val="tx1"/>
            </w14:solidFill>
          </w14:textFill>
        </w:rPr>
        <w:t>表1</w:t>
      </w:r>
      <w:r>
        <w:rPr>
          <w:rFonts w:ascii="Times New Roman" w:hAnsi="Times New Roman" w:cs="Times New Roman"/>
          <w:color w:val="000000" w:themeColor="text1"/>
          <w:sz w:val="24"/>
          <w:szCs w:val="24"/>
          <w:lang w:val="en-US"/>
          <w14:textFill>
            <w14:solidFill>
              <w14:schemeClr w14:val="tx1"/>
            </w14:solidFill>
          </w14:textFill>
        </w:rPr>
        <w:t xml:space="preserve"> </w:t>
      </w:r>
      <w:r>
        <w:rPr>
          <w:rFonts w:ascii="Times New Roman" w:hAnsi="Times New Roman" w:cs="Times New Roman"/>
          <w:color w:val="000000" w:themeColor="text1"/>
          <w:sz w:val="24"/>
          <w:szCs w:val="24"/>
          <w:lang w:val="en-US"/>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联盟地区药品集团带量采购</w:t>
      </w:r>
      <w:r>
        <w:rPr>
          <w:rFonts w:hint="eastAsia" w:ascii="Times New Roman" w:hAnsi="Times New Roman" w:cs="Times New Roman"/>
          <w:color w:val="000000" w:themeColor="text1"/>
          <w:sz w:val="24"/>
          <w:szCs w:val="24"/>
          <w:lang w:val="en-US"/>
          <w14:textFill>
            <w14:solidFill>
              <w14:schemeClr w14:val="tx1"/>
            </w14:solidFill>
          </w14:textFill>
        </w:rPr>
        <w:t>产品清单</w:t>
      </w:r>
      <w:r>
        <w:rPr>
          <w:rFonts w:ascii="Times New Roman" w:hAnsi="Times New Roman" w:cs="Times New Roman"/>
          <w:color w:val="000000" w:themeColor="text1"/>
          <w:sz w:val="24"/>
          <w:szCs w:val="24"/>
          <w:lang w:val="en-US"/>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ascii="Times New Roman" w:hAnsi="Times New Roman" w:cs="Times New Roman"/>
          <w:color w:val="000000" w:themeColor="text1"/>
          <w:sz w:val="24"/>
          <w:szCs w:val="24"/>
          <w:lang w:val="en-US"/>
          <w14:textFill>
            <w14:solidFill>
              <w14:schemeClr w14:val="tx1"/>
            </w14:solidFill>
          </w14:textFill>
        </w:rPr>
        <w:fldChar w:fldCharType="end"/>
      </w:r>
      <w:r>
        <w:rPr>
          <w:rFonts w:hint="eastAsia" w:ascii="Times New Roman" w:hAnsi="Times New Roman" w:cs="Times New Roman"/>
          <w:color w:val="000000" w:themeColor="text1"/>
          <w:sz w:val="24"/>
          <w:szCs w:val="24"/>
          <w:lang w:val="en-US"/>
          <w14:textFill>
            <w14:solidFill>
              <w14:schemeClr w14:val="tx1"/>
            </w14:solidFill>
          </w14:textFill>
        </w:rPr>
        <w:t>29</w:t>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pos="2800"/>
          <w:tab w:val="right" w:leader="dot" w:pos="9836"/>
        </w:tabs>
        <w:spacing w:line="360" w:lineRule="exact"/>
        <w:ind w:left="440"/>
        <w:rPr>
          <w:rFonts w:ascii="Times New Roman" w:hAnsi="Times New Roman" w:cs="Times New Roman"/>
          <w:color w:val="000000" w:themeColor="text1"/>
          <w:sz w:val="24"/>
          <w:szCs w:val="24"/>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sectPr>
          <w:pgSz w:w="11910" w:h="16840"/>
          <w:pgMar w:top="1580" w:right="1040" w:bottom="280" w:left="1300" w:header="720" w:footer="720" w:gutter="0"/>
          <w:pgNumType w:fmt="numberInDash" w:start="1"/>
          <w:cols w:space="720" w:num="1"/>
        </w:sectPr>
      </w:pPr>
    </w:p>
    <w:p>
      <w:pPr>
        <w:keepNext/>
        <w:keepLines/>
        <w:widowControl/>
        <w:autoSpaceDE/>
        <w:autoSpaceDN/>
        <w:spacing w:after="160" w:line="560" w:lineRule="exact"/>
        <w:jc w:val="center"/>
        <w:outlineLvl w:val="0"/>
        <w:rPr>
          <w:rFonts w:ascii="Times New Roman" w:hAnsi="Times New Roman" w:cs="Times New Roman"/>
          <w:b/>
          <w:color w:val="000000" w:themeColor="text1"/>
          <w:kern w:val="44"/>
          <w:sz w:val="36"/>
          <w:szCs w:val="36"/>
          <w:lang w:val="en-US" w:bidi="ar-SA"/>
          <w14:textFill>
            <w14:solidFill>
              <w14:schemeClr w14:val="tx1"/>
            </w14:solidFill>
          </w14:textFill>
        </w:rPr>
      </w:pPr>
      <w:bookmarkStart w:id="0" w:name="第一部分_采购邀请"/>
      <w:bookmarkEnd w:id="0"/>
      <w:bookmarkStart w:id="1" w:name="_bookmark0"/>
      <w:bookmarkEnd w:id="1"/>
      <w:bookmarkStart w:id="2" w:name="_Toc17748575"/>
      <w:r>
        <w:rPr>
          <w:rFonts w:ascii="Times New Roman" w:hAnsi="Times New Roman" w:eastAsia="华文中宋" w:cs="Times New Roman"/>
          <w:bCs/>
          <w:color w:val="000000" w:themeColor="text1"/>
          <w:kern w:val="44"/>
          <w:sz w:val="36"/>
          <w:szCs w:val="36"/>
          <w:lang w:val="en-US" w:bidi="ar-SA"/>
          <w14:textFill>
            <w14:solidFill>
              <w14:schemeClr w14:val="tx1"/>
            </w14:solidFill>
          </w14:textFill>
        </w:rPr>
        <w:t>第一部分 采购邀请</w:t>
      </w:r>
      <w:bookmarkEnd w:id="2"/>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为满足医疗机构药品采购需求，促进</w:t>
      </w:r>
      <w:r>
        <w:rPr>
          <w:rFonts w:hint="eastAsia" w:ascii="Times New Roman" w:hAnsi="Times New Roman" w:cs="Times New Roman"/>
          <w:color w:val="000000" w:themeColor="text1"/>
          <w:kern w:val="2"/>
          <w:sz w:val="30"/>
          <w:szCs w:val="30"/>
          <w:lang w:val="en-US" w:bidi="ar-SA"/>
          <w14:textFill>
            <w14:solidFill>
              <w14:schemeClr w14:val="tx1"/>
            </w14:solidFill>
          </w14:textFill>
        </w:rPr>
        <w:t>药品</w:t>
      </w:r>
      <w:r>
        <w:rPr>
          <w:rFonts w:ascii="Times New Roman" w:hAnsi="Times New Roman" w:cs="Times New Roman"/>
          <w:color w:val="000000" w:themeColor="text1"/>
          <w:kern w:val="2"/>
          <w:sz w:val="30"/>
          <w:szCs w:val="30"/>
          <w:lang w:val="en-US" w:bidi="ar-SA"/>
          <w14:textFill>
            <w14:solidFill>
              <w14:schemeClr w14:val="tx1"/>
            </w14:solidFill>
          </w14:textFill>
        </w:rPr>
        <w:t>形成合理市场价格，按照《广东省医疗保障局关于做好药品和医用耗材采购工作的指导意见》（粤医保规〔2020〕2号）的精神，广东省药品交易中心有限公司（以下简称省药交中心）开展</w:t>
      </w:r>
      <w:r>
        <w:rPr>
          <w:rFonts w:hint="eastAsia" w:ascii="Times New Roman" w:hAnsi="Times New Roman" w:cs="Times New Roman"/>
          <w:color w:val="000000" w:themeColor="text1"/>
          <w:kern w:val="2"/>
          <w:sz w:val="30"/>
          <w:szCs w:val="30"/>
          <w:lang w:val="en-US" w:bidi="ar-SA"/>
          <w14:textFill>
            <w14:solidFill>
              <w14:schemeClr w14:val="tx1"/>
            </w14:solidFill>
          </w14:textFill>
        </w:rPr>
        <w:t>阿莫西林等45个</w:t>
      </w:r>
      <w:r>
        <w:rPr>
          <w:rFonts w:ascii="Times New Roman" w:hAnsi="Times New Roman" w:cs="Times New Roman"/>
          <w:color w:val="000000" w:themeColor="text1"/>
          <w:kern w:val="2"/>
          <w:sz w:val="30"/>
          <w:szCs w:val="30"/>
          <w:lang w:val="en-US" w:bidi="ar-SA"/>
          <w14:textFill>
            <w14:solidFill>
              <w14:schemeClr w14:val="tx1"/>
            </w14:solidFill>
          </w14:textFill>
        </w:rPr>
        <w:t>药品联盟地区集团带量采购工作，现邀请符合要求的企业前来申报。</w:t>
      </w:r>
    </w:p>
    <w:p>
      <w:pPr>
        <w:autoSpaceDE/>
        <w:autoSpaceDN/>
        <w:spacing w:line="600" w:lineRule="exact"/>
        <w:ind w:firstLine="600" w:firstLineChars="200"/>
        <w:jc w:val="both"/>
        <w:rPr>
          <w:rFonts w:ascii="Times New Roman" w:hAnsi="Times New Roman" w:eastAsia="黑体" w:cs="Times New Roman"/>
          <w:color w:val="000000" w:themeColor="text1"/>
          <w:kern w:val="2"/>
          <w:sz w:val="30"/>
          <w:szCs w:val="30"/>
          <w:lang w:val="en-US" w:bidi="ar-SA"/>
          <w14:textFill>
            <w14:solidFill>
              <w14:schemeClr w14:val="tx1"/>
            </w14:solidFill>
          </w14:textFill>
        </w:rPr>
      </w:pPr>
      <w:r>
        <w:rPr>
          <w:rFonts w:ascii="Times New Roman" w:hAnsi="Times New Roman" w:eastAsia="黑体" w:cs="Times New Roman"/>
          <w:color w:val="000000" w:themeColor="text1"/>
          <w:kern w:val="2"/>
          <w:sz w:val="30"/>
          <w:szCs w:val="30"/>
          <w:lang w:val="en-US" w:bidi="ar-SA"/>
          <w14:textFill>
            <w14:solidFill>
              <w14:schemeClr w14:val="tx1"/>
            </w14:solidFill>
          </w14:textFill>
        </w:rPr>
        <w:t>一、参与采购主体</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本次参与</w:t>
      </w:r>
      <w:r>
        <w:rPr>
          <w:rFonts w:hint="eastAsia" w:ascii="Times New Roman" w:hAnsi="Times New Roman" w:cs="Times New Roman"/>
          <w:color w:val="000000" w:themeColor="text1"/>
          <w:kern w:val="2"/>
          <w:sz w:val="30"/>
          <w:szCs w:val="30"/>
          <w:lang w:val="en-US" w:bidi="ar-SA"/>
          <w14:textFill>
            <w14:solidFill>
              <w14:schemeClr w14:val="tx1"/>
            </w14:solidFill>
          </w14:textFill>
        </w:rPr>
        <w:t>的</w:t>
      </w:r>
      <w:r>
        <w:rPr>
          <w:rFonts w:ascii="Times New Roman" w:hAnsi="Times New Roman" w:cs="Times New Roman"/>
          <w:color w:val="000000" w:themeColor="text1"/>
          <w:kern w:val="2"/>
          <w:sz w:val="30"/>
          <w:szCs w:val="30"/>
          <w:lang w:val="en-US" w:bidi="ar-SA"/>
          <w14:textFill>
            <w14:solidFill>
              <w14:schemeClr w14:val="tx1"/>
            </w14:solidFill>
          </w14:textFill>
        </w:rPr>
        <w:t>采购主体为联盟地区所有公立医疗机构（含军队医疗机构，下同），医保定点社会办医疗机构和定点药店</w:t>
      </w:r>
      <w:r>
        <w:rPr>
          <w:rFonts w:hint="eastAsia" w:ascii="Times New Roman" w:hAnsi="Times New Roman" w:cs="Times New Roman"/>
          <w:color w:val="000000" w:themeColor="text1"/>
          <w:kern w:val="2"/>
          <w:sz w:val="30"/>
          <w:szCs w:val="30"/>
          <w:lang w:val="en-US" w:bidi="ar-SA"/>
          <w14:textFill>
            <w14:solidFill>
              <w14:schemeClr w14:val="tx1"/>
            </w14:solidFill>
          </w14:textFill>
        </w:rPr>
        <w:t>可自愿参加</w:t>
      </w:r>
      <w:r>
        <w:rPr>
          <w:rFonts w:ascii="Times New Roman" w:hAnsi="Times New Roman" w:cs="Times New Roman"/>
          <w:color w:val="000000" w:themeColor="text1"/>
          <w:kern w:val="2"/>
          <w:sz w:val="30"/>
          <w:szCs w:val="30"/>
          <w:lang w:val="en-US" w:bidi="ar-SA"/>
          <w14:textFill>
            <w14:solidFill>
              <w14:schemeClr w14:val="tx1"/>
            </w14:solidFill>
          </w14:textFill>
        </w:rPr>
        <w:t>。</w:t>
      </w:r>
    </w:p>
    <w:p>
      <w:pPr>
        <w:autoSpaceDE/>
        <w:autoSpaceDN/>
        <w:spacing w:line="560" w:lineRule="exact"/>
        <w:ind w:firstLine="600" w:firstLineChars="200"/>
        <w:jc w:val="both"/>
        <w:rPr>
          <w:rFonts w:ascii="Times New Roman" w:hAnsi="Times New Roman" w:eastAsia="黑体" w:cs="Times New Roman"/>
          <w:color w:val="000000" w:themeColor="text1"/>
          <w:kern w:val="2"/>
          <w:sz w:val="30"/>
          <w:szCs w:val="30"/>
          <w:lang w:val="en-US" w:bidi="ar-SA"/>
          <w14:textFill>
            <w14:solidFill>
              <w14:schemeClr w14:val="tx1"/>
            </w14:solidFill>
          </w14:textFill>
        </w:rPr>
      </w:pPr>
      <w:r>
        <w:rPr>
          <w:rFonts w:ascii="Times New Roman" w:hAnsi="Times New Roman" w:eastAsia="黑体" w:cs="Times New Roman"/>
          <w:color w:val="000000" w:themeColor="text1"/>
          <w:kern w:val="2"/>
          <w:sz w:val="30"/>
          <w:szCs w:val="30"/>
          <w:lang w:val="en-US" w:bidi="ar-SA"/>
          <w14:textFill>
            <w14:solidFill>
              <w14:schemeClr w14:val="tx1"/>
            </w14:solidFill>
          </w14:textFill>
        </w:rPr>
        <w:t>二、品种范围</w:t>
      </w:r>
    </w:p>
    <w:p>
      <w:pPr>
        <w:autoSpaceDE/>
        <w:autoSpaceDN/>
        <w:spacing w:line="560" w:lineRule="exact"/>
        <w:ind w:firstLine="600" w:firstLineChars="200"/>
        <w:jc w:val="both"/>
        <w:rPr>
          <w:rFonts w:hint="eastAsia" w:ascii="Times New Roman" w:hAnsi="Times New Roman" w:cs="Times New Roman"/>
          <w:color w:val="000000" w:themeColor="text1"/>
          <w:kern w:val="2"/>
          <w:sz w:val="30"/>
          <w:szCs w:val="30"/>
          <w:lang w:val="en-US" w:bidi="ar-SA"/>
          <w14:textFill>
            <w14:solidFill>
              <w14:schemeClr w14:val="tx1"/>
            </w14:solidFill>
          </w14:textFill>
        </w:rPr>
      </w:pPr>
      <w:bookmarkStart w:id="3" w:name="_Toc17748577"/>
      <w:bookmarkStart w:id="4" w:name="_Toc3139"/>
      <w:r>
        <w:rPr>
          <w:rFonts w:hint="eastAsia" w:ascii="Times New Roman" w:hAnsi="Times New Roman" w:cs="Times New Roman"/>
          <w:color w:val="000000" w:themeColor="text1"/>
          <w:kern w:val="2"/>
          <w:sz w:val="30"/>
          <w:szCs w:val="30"/>
          <w:lang w:val="en-US" w:bidi="ar-SA"/>
          <w14:textFill>
            <w14:solidFill>
              <w14:schemeClr w14:val="tx1"/>
            </w14:solidFill>
          </w14:textFill>
        </w:rPr>
        <w:t>本次药品集团带量采购的品种范围是国家第一、三批集采2021年底到期的阿莫西林等45个同通用名药品（即同品种）的全部剂型及规格，其中国家已集采未到期的剂型</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w:t>
      </w:r>
      <w:r>
        <w:rPr>
          <w:rFonts w:hint="eastAsia" w:ascii="Times New Roman" w:hAnsi="Times New Roman" w:cs="Times New Roman"/>
          <w:color w:val="000000" w:themeColor="text1"/>
          <w:kern w:val="2"/>
          <w:sz w:val="30"/>
          <w:szCs w:val="30"/>
          <w:lang w:val="en-US" w:bidi="ar-SA"/>
          <w14:textFill>
            <w14:solidFill>
              <w14:schemeClr w14:val="tx1"/>
            </w14:solidFill>
          </w14:textFill>
        </w:rPr>
        <w:t>不列入本次范围。</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若</w:t>
      </w:r>
      <w:r>
        <w:rPr>
          <w:rFonts w:hint="eastAsia" w:ascii="Times New Roman" w:hAnsi="Times New Roman" w:cs="Times New Roman"/>
          <w:color w:val="000000" w:themeColor="text1"/>
          <w:kern w:val="2"/>
          <w:sz w:val="30"/>
          <w:szCs w:val="30"/>
          <w:lang w:val="en-US" w:bidi="ar-SA"/>
          <w14:textFill>
            <w14:solidFill>
              <w14:schemeClr w14:val="tx1"/>
            </w14:solidFill>
          </w14:textFill>
        </w:rPr>
        <w:t>在本采购文件发布当</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日前</w:t>
      </w:r>
      <w:r>
        <w:rPr>
          <w:rFonts w:hint="eastAsia" w:ascii="Times New Roman" w:hAnsi="Times New Roman" w:cs="Times New Roman"/>
          <w:color w:val="000000" w:themeColor="text1"/>
          <w:kern w:val="2"/>
          <w:sz w:val="30"/>
          <w:szCs w:val="30"/>
          <w:lang w:val="en-US" w:bidi="ar-SA"/>
          <w14:textFill>
            <w14:solidFill>
              <w14:schemeClr w14:val="tx1"/>
            </w14:solidFill>
          </w14:textFill>
        </w:rPr>
        <w:t>，</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出现</w:t>
      </w:r>
      <w:r>
        <w:rPr>
          <w:rFonts w:ascii="Times New Roman" w:hAnsi="Times New Roman" w:cs="Times New Roman"/>
          <w:color w:val="000000" w:themeColor="text1"/>
          <w:kern w:val="2"/>
          <w:sz w:val="30"/>
          <w:szCs w:val="30"/>
          <w:lang w:val="en-US" w:bidi="ar-SA"/>
          <w14:textFill>
            <w14:solidFill>
              <w14:schemeClr w14:val="tx1"/>
            </w14:solidFill>
          </w14:textFill>
        </w:rPr>
        <w:t>通过一致性评价的仿制药数量超过3</w:t>
      </w:r>
      <w:r>
        <w:rPr>
          <w:rFonts w:hint="eastAsia" w:ascii="Times New Roman" w:hAnsi="Times New Roman" w:cs="Times New Roman"/>
          <w:color w:val="000000" w:themeColor="text1"/>
          <w:kern w:val="2"/>
          <w:sz w:val="30"/>
          <w:szCs w:val="30"/>
          <w:lang w:val="en-US" w:bidi="ar-SA"/>
          <w14:textFill>
            <w14:solidFill>
              <w14:schemeClr w14:val="tx1"/>
            </w14:solidFill>
          </w14:textFill>
        </w:rPr>
        <w:t>个（含</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本数</w:t>
      </w:r>
      <w:r>
        <w:rPr>
          <w:rFonts w:hint="eastAsia" w:ascii="Times New Roman" w:hAnsi="Times New Roman" w:cs="Times New Roman"/>
          <w:color w:val="000000" w:themeColor="text1"/>
          <w:kern w:val="2"/>
          <w:sz w:val="30"/>
          <w:szCs w:val="30"/>
          <w:lang w:val="en-US" w:bidi="ar-SA"/>
          <w14:textFill>
            <w14:solidFill>
              <w14:schemeClr w14:val="tx1"/>
            </w14:solidFill>
          </w14:textFill>
        </w:rPr>
        <w:t>）且国家未集采的剂型（指医保剂型），不列入本次集采范围。</w:t>
      </w:r>
    </w:p>
    <w:p>
      <w:pPr>
        <w:autoSpaceDE/>
        <w:autoSpaceDN/>
        <w:spacing w:line="560" w:lineRule="exact"/>
        <w:ind w:firstLine="600" w:firstLineChars="200"/>
        <w:jc w:val="both"/>
        <w:rPr>
          <w:rFonts w:ascii="Times New Roman" w:hAnsi="Times New Roman" w:eastAsia="黑体" w:cs="Times New Roman"/>
          <w:color w:val="000000" w:themeColor="text1"/>
          <w:kern w:val="2"/>
          <w:sz w:val="30"/>
          <w:szCs w:val="30"/>
          <w:lang w:val="en-US" w:bidi="ar-SA"/>
          <w14:textFill>
            <w14:solidFill>
              <w14:schemeClr w14:val="tx1"/>
            </w14:solidFill>
          </w14:textFill>
        </w:rPr>
      </w:pPr>
      <w:r>
        <w:rPr>
          <w:rFonts w:ascii="Times New Roman" w:hAnsi="Times New Roman" w:eastAsia="黑体" w:cs="Times New Roman"/>
          <w:color w:val="000000" w:themeColor="text1"/>
          <w:kern w:val="2"/>
          <w:sz w:val="30"/>
          <w:szCs w:val="30"/>
          <w:lang w:val="en-US" w:bidi="ar-SA"/>
          <w14:textFill>
            <w14:solidFill>
              <w14:schemeClr w14:val="tx1"/>
            </w14:solidFill>
          </w14:textFill>
        </w:rPr>
        <w:t>三、采购周期和采购协议</w:t>
      </w:r>
      <w:r>
        <w:rPr>
          <w:rFonts w:hint="eastAsia" w:ascii="Times New Roman" w:hAnsi="Times New Roman" w:eastAsia="黑体" w:cs="Times New Roman"/>
          <w:color w:val="000000" w:themeColor="text1"/>
          <w:kern w:val="2"/>
          <w:sz w:val="30"/>
          <w:szCs w:val="30"/>
          <w:lang w:val="en-US" w:bidi="ar-SA"/>
          <w14:textFill>
            <w14:solidFill>
              <w14:schemeClr w14:val="tx1"/>
            </w14:solidFill>
          </w14:textFill>
        </w:rPr>
        <w:t xml:space="preserve"> </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（一）本次</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品种范围的</w:t>
      </w:r>
      <w:r>
        <w:rPr>
          <w:rFonts w:hint="eastAsia" w:ascii="Times New Roman" w:hAnsi="Times New Roman" w:cs="Times New Roman"/>
          <w:color w:val="000000" w:themeColor="text1"/>
          <w:kern w:val="2"/>
          <w:sz w:val="30"/>
          <w:szCs w:val="30"/>
          <w:lang w:val="en-US" w:bidi="ar-SA"/>
          <w14:textFill>
            <w14:solidFill>
              <w14:schemeClr w14:val="tx1"/>
            </w14:solidFill>
          </w14:textFill>
        </w:rPr>
        <w:t>药品</w:t>
      </w:r>
      <w:r>
        <w:rPr>
          <w:rFonts w:ascii="Times New Roman" w:hAnsi="Times New Roman" w:cs="Times New Roman"/>
          <w:color w:val="000000" w:themeColor="text1"/>
          <w:kern w:val="2"/>
          <w:sz w:val="30"/>
          <w:szCs w:val="30"/>
          <w:lang w:val="en-US" w:bidi="ar-SA"/>
          <w14:textFill>
            <w14:solidFill>
              <w14:schemeClr w14:val="tx1"/>
            </w14:solidFill>
          </w14:textFill>
        </w:rPr>
        <w:t>联盟地区带量采购周期至202</w:t>
      </w:r>
      <w:r>
        <w:rPr>
          <w:rFonts w:hint="eastAsia" w:ascii="Times New Roman" w:hAnsi="Times New Roman" w:cs="Times New Roman"/>
          <w:color w:val="000000" w:themeColor="text1"/>
          <w:kern w:val="2"/>
          <w:sz w:val="30"/>
          <w:szCs w:val="30"/>
          <w:lang w:val="en-US" w:bidi="ar-SA"/>
          <w14:textFill>
            <w14:solidFill>
              <w14:schemeClr w14:val="tx1"/>
            </w14:solidFill>
          </w14:textFill>
        </w:rPr>
        <w:t>*</w:t>
      </w:r>
      <w:r>
        <w:rPr>
          <w:rFonts w:ascii="Times New Roman" w:hAnsi="Times New Roman" w:cs="Times New Roman"/>
          <w:color w:val="000000" w:themeColor="text1"/>
          <w:kern w:val="2"/>
          <w:sz w:val="30"/>
          <w:szCs w:val="30"/>
          <w:lang w:val="en-US" w:bidi="ar-SA"/>
          <w14:textFill>
            <w14:solidFill>
              <w14:schemeClr w14:val="tx1"/>
            </w14:solidFill>
          </w14:textFill>
        </w:rPr>
        <w:t>年</w:t>
      </w:r>
      <w:r>
        <w:rPr>
          <w:rFonts w:hint="eastAsia" w:ascii="Times New Roman" w:hAnsi="Times New Roman" w:cs="Times New Roman"/>
          <w:color w:val="000000" w:themeColor="text1"/>
          <w:kern w:val="2"/>
          <w:sz w:val="30"/>
          <w:szCs w:val="30"/>
          <w:lang w:val="en-US" w:bidi="ar-SA"/>
          <w14:textFill>
            <w14:solidFill>
              <w14:schemeClr w14:val="tx1"/>
            </w14:solidFill>
          </w14:textFill>
        </w:rPr>
        <w:t>*</w:t>
      </w:r>
      <w:r>
        <w:rPr>
          <w:rFonts w:ascii="Times New Roman" w:hAnsi="Times New Roman" w:cs="Times New Roman"/>
          <w:color w:val="000000" w:themeColor="text1"/>
          <w:kern w:val="2"/>
          <w:sz w:val="30"/>
          <w:szCs w:val="30"/>
          <w:lang w:val="en-US" w:bidi="ar-SA"/>
          <w14:textFill>
            <w14:solidFill>
              <w14:schemeClr w14:val="tx1"/>
            </w14:solidFill>
          </w14:textFill>
        </w:rPr>
        <w:t>月</w:t>
      </w:r>
      <w:r>
        <w:rPr>
          <w:rFonts w:hint="eastAsia" w:ascii="Times New Roman" w:hAnsi="Times New Roman" w:cs="Times New Roman"/>
          <w:color w:val="000000" w:themeColor="text1"/>
          <w:kern w:val="2"/>
          <w:sz w:val="30"/>
          <w:szCs w:val="30"/>
          <w:lang w:val="en-US" w:bidi="ar-SA"/>
          <w14:textFill>
            <w14:solidFill>
              <w14:schemeClr w14:val="tx1"/>
            </w14:solidFill>
          </w14:textFill>
        </w:rPr>
        <w:t>*</w:t>
      </w:r>
      <w:r>
        <w:rPr>
          <w:rFonts w:ascii="Times New Roman" w:hAnsi="Times New Roman" w:cs="Times New Roman"/>
          <w:color w:val="000000" w:themeColor="text1"/>
          <w:kern w:val="2"/>
          <w:sz w:val="30"/>
          <w:szCs w:val="30"/>
          <w:lang w:val="en-US" w:bidi="ar-SA"/>
          <w14:textFill>
            <w14:solidFill>
              <w14:schemeClr w14:val="tx1"/>
            </w14:solidFill>
          </w14:textFill>
        </w:rPr>
        <w:t>日，自中选结果实际执行日起计算。</w:t>
      </w:r>
    </w:p>
    <w:p>
      <w:pPr>
        <w:numPr>
          <w:ilvl w:val="0"/>
          <w:numId w:val="1"/>
        </w:numPr>
        <w:autoSpaceDE/>
        <w:autoSpaceDN/>
        <w:spacing w:line="560" w:lineRule="exact"/>
        <w:ind w:firstLine="600" w:firstLineChars="200"/>
        <w:jc w:val="both"/>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在采购周期内采购协议</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每年一签</w:t>
      </w:r>
      <w:r>
        <w:rPr>
          <w:rFonts w:ascii="Times New Roman" w:hAnsi="Times New Roman" w:cs="Times New Roman"/>
          <w:color w:val="000000" w:themeColor="text1"/>
          <w:kern w:val="2"/>
          <w:sz w:val="30"/>
          <w:szCs w:val="30"/>
          <w:lang w:val="en-US" w:bidi="ar-SA"/>
          <w14:textFill>
            <w14:solidFill>
              <w14:schemeClr w14:val="tx1"/>
            </w14:solidFill>
          </w14:textFill>
        </w:rPr>
        <w:t>。续签采购协议时，协议采购量</w:t>
      </w:r>
      <w:r>
        <w:rPr>
          <w:rFonts w:hint="eastAsia" w:ascii="Times New Roman" w:hAnsi="Times New Roman" w:cs="Times New Roman"/>
          <w:color w:val="000000" w:themeColor="text1"/>
          <w:kern w:val="2"/>
          <w:sz w:val="30"/>
          <w:szCs w:val="30"/>
          <w:lang w:val="en-US" w:bidi="ar-SA"/>
          <w14:textFill>
            <w14:solidFill>
              <w14:schemeClr w14:val="tx1"/>
            </w14:solidFill>
          </w14:textFill>
        </w:rPr>
        <w:t>根据</w:t>
      </w:r>
      <w:r>
        <w:rPr>
          <w:rFonts w:ascii="Times New Roman" w:hAnsi="Times New Roman" w:cs="Times New Roman"/>
          <w:color w:val="000000" w:themeColor="text1"/>
          <w:kern w:val="2"/>
          <w:sz w:val="30"/>
          <w:szCs w:val="30"/>
          <w:lang w:val="en-US" w:bidi="ar-SA"/>
          <w14:textFill>
            <w14:solidFill>
              <w14:schemeClr w14:val="tx1"/>
            </w14:solidFill>
          </w14:textFill>
        </w:rPr>
        <w:t>首年预采购量</w:t>
      </w:r>
      <w:r>
        <w:rPr>
          <w:rFonts w:hint="eastAsia" w:ascii="Times New Roman" w:hAnsi="Times New Roman" w:cs="Times New Roman"/>
          <w:color w:val="000000" w:themeColor="text1"/>
          <w:kern w:val="2"/>
          <w:sz w:val="30"/>
          <w:szCs w:val="30"/>
          <w:lang w:val="en-US" w:bidi="ar-SA"/>
          <w14:textFill>
            <w14:solidFill>
              <w14:schemeClr w14:val="tx1"/>
            </w14:solidFill>
          </w14:textFill>
        </w:rPr>
        <w:t>按采购年度</w:t>
      </w:r>
      <w:r>
        <w:rPr>
          <w:rFonts w:ascii="Times New Roman" w:hAnsi="Times New Roman" w:cs="Times New Roman"/>
          <w:color w:val="000000" w:themeColor="text1"/>
          <w:kern w:val="2"/>
          <w:sz w:val="30"/>
          <w:szCs w:val="30"/>
          <w:lang w:val="en-US" w:bidi="ar-SA"/>
          <w14:textFill>
            <w14:solidFill>
              <w14:schemeClr w14:val="tx1"/>
            </w14:solidFill>
          </w14:textFill>
        </w:rPr>
        <w:t>折算，原则上不少于</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该中选产品上年协议采购量。</w:t>
      </w:r>
    </w:p>
    <w:p>
      <w:pPr>
        <w:numPr>
          <w:ilvl w:val="0"/>
          <w:numId w:val="0"/>
        </w:numPr>
        <w:autoSpaceDE/>
        <w:autoSpaceDN/>
        <w:spacing w:line="560" w:lineRule="exact"/>
        <w:ind w:firstLine="600" w:firstLineChars="200"/>
        <w:jc w:val="both"/>
        <w:rPr>
          <w:rFonts w:hint="default" w:ascii="Times New Roman" w:hAnsi="Times New Roman" w:cs="Times New Roman"/>
          <w:color w:val="000000" w:themeColor="text1"/>
          <w:kern w:val="2"/>
          <w:sz w:val="30"/>
          <w:szCs w:val="30"/>
          <w:lang w:val="en-US" w:eastAsia="zh-CN" w:bidi="ar-SA"/>
          <w14:textFill>
            <w14:solidFill>
              <w14:schemeClr w14:val="tx1"/>
            </w14:solidFill>
          </w14:textFill>
        </w:rPr>
      </w:pP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当实际采购量超过首年约定采购量1倍的，其中选价格按照本企业第2梯级报价与第五条拟中选产品确定第（四）项A/B采购单拟中选价格的确定规则对比确定后的价格续签采购协议。</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（三）</w:t>
      </w:r>
      <w:r>
        <w:rPr>
          <w:rFonts w:ascii="Times New Roman" w:hAnsi="Times New Roman" w:cs="Times New Roman"/>
          <w:color w:val="000000" w:themeColor="text1"/>
          <w:kern w:val="2"/>
          <w:sz w:val="30"/>
          <w:szCs w:val="30"/>
          <w:lang w:val="en-US" w:bidi="ar-SA"/>
          <w14:textFill>
            <w14:solidFill>
              <w14:schemeClr w14:val="tx1"/>
            </w14:solidFill>
          </w14:textFill>
        </w:rPr>
        <w:t>采购周期内医疗机构</w:t>
      </w:r>
      <w:r>
        <w:rPr>
          <w:rFonts w:hint="eastAsia" w:ascii="Times New Roman" w:hAnsi="Times New Roman" w:cs="Times New Roman"/>
          <w:color w:val="000000" w:themeColor="text1"/>
          <w:kern w:val="2"/>
          <w:sz w:val="30"/>
          <w:szCs w:val="30"/>
          <w:lang w:val="en-US" w:bidi="ar-SA"/>
          <w14:textFill>
            <w14:solidFill>
              <w14:schemeClr w14:val="tx1"/>
            </w14:solidFill>
          </w14:textFill>
        </w:rPr>
        <w:t>若提前完成当年协议采购量，超出协议采购量的部分（简称增量），优先采购中选产品，中选企业仍需按中选价格进行供应，直至采购周期届满。</w:t>
      </w:r>
    </w:p>
    <w:p>
      <w:pPr>
        <w:autoSpaceDE/>
        <w:autoSpaceDN/>
        <w:spacing w:line="560" w:lineRule="exact"/>
        <w:ind w:firstLine="600" w:firstLineChars="200"/>
        <w:jc w:val="both"/>
        <w:rPr>
          <w:rFonts w:ascii="Times New Roman" w:hAnsi="Times New Roman" w:eastAsia="黑体" w:cs="Times New Roman"/>
          <w:color w:val="000000" w:themeColor="text1"/>
          <w:kern w:val="2"/>
          <w:sz w:val="30"/>
          <w:szCs w:val="30"/>
          <w:lang w:val="en-US" w:bidi="ar-SA"/>
          <w14:textFill>
            <w14:solidFill>
              <w14:schemeClr w14:val="tx1"/>
            </w14:solidFill>
          </w14:textFill>
        </w:rPr>
      </w:pPr>
      <w:r>
        <w:rPr>
          <w:rFonts w:ascii="Times New Roman" w:hAnsi="Times New Roman" w:eastAsia="黑体" w:cs="Times New Roman"/>
          <w:color w:val="000000" w:themeColor="text1"/>
          <w:kern w:val="2"/>
          <w:sz w:val="30"/>
          <w:szCs w:val="30"/>
          <w:lang w:val="en-US" w:bidi="ar-SA"/>
          <w14:textFill>
            <w14:solidFill>
              <w14:schemeClr w14:val="tx1"/>
            </w14:solidFill>
          </w14:textFill>
        </w:rPr>
        <w:t>四、申报资格</w:t>
      </w:r>
      <w:bookmarkEnd w:id="3"/>
      <w:bookmarkEnd w:id="4"/>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符合以下申报要求的企业须在规定时间提交申报材料，未提交的，将影响该企业所涉及药品在联盟地区范围内的药品集团带量采购活动。</w:t>
      </w:r>
    </w:p>
    <w:p>
      <w:pPr>
        <w:autoSpaceDE/>
        <w:autoSpaceDN/>
        <w:spacing w:line="560" w:lineRule="exact"/>
        <w:ind w:firstLine="602" w:firstLineChars="200"/>
        <w:jc w:val="both"/>
        <w:rPr>
          <w:rFonts w:ascii="Times New Roman" w:hAnsi="Times New Roman" w:cs="Times New Roman"/>
          <w:b/>
          <w:bCs/>
          <w:color w:val="000000" w:themeColor="text1"/>
          <w:kern w:val="2"/>
          <w:sz w:val="30"/>
          <w:szCs w:val="30"/>
          <w:lang w:val="en-US" w:bidi="ar-SA"/>
          <w14:textFill>
            <w14:solidFill>
              <w14:schemeClr w14:val="tx1"/>
            </w14:solidFill>
          </w14:textFill>
        </w:rPr>
      </w:pPr>
      <w:r>
        <w:rPr>
          <w:rFonts w:ascii="Times New Roman" w:hAnsi="Times New Roman" w:cs="Times New Roman"/>
          <w:b/>
          <w:bCs/>
          <w:color w:val="000000" w:themeColor="text1"/>
          <w:kern w:val="2"/>
          <w:sz w:val="30"/>
          <w:szCs w:val="30"/>
          <w:lang w:val="en-US" w:bidi="ar-SA"/>
          <w14:textFill>
            <w14:solidFill>
              <w14:schemeClr w14:val="tx1"/>
            </w14:solidFill>
          </w14:textFill>
        </w:rPr>
        <w:t>（一）申报企业资格</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提供药品及伴随服务的国内药品生产企业、药品上市许可持有人、药品上市许可持有人（为境外企业）指定的进口药品全国总代理。</w:t>
      </w:r>
    </w:p>
    <w:p>
      <w:pPr>
        <w:autoSpaceDE/>
        <w:autoSpaceDN/>
        <w:spacing w:line="560" w:lineRule="exact"/>
        <w:ind w:firstLine="602" w:firstLineChars="200"/>
        <w:jc w:val="both"/>
        <w:rPr>
          <w:rFonts w:ascii="Times New Roman" w:hAnsi="Times New Roman" w:cs="Times New Roman"/>
          <w:b/>
          <w:bCs/>
          <w:color w:val="000000" w:themeColor="text1"/>
          <w:kern w:val="2"/>
          <w:sz w:val="30"/>
          <w:szCs w:val="30"/>
          <w:lang w:val="en-US" w:bidi="ar-SA"/>
          <w14:textFill>
            <w14:solidFill>
              <w14:schemeClr w14:val="tx1"/>
            </w14:solidFill>
          </w14:textFill>
        </w:rPr>
      </w:pPr>
      <w:r>
        <w:rPr>
          <w:rFonts w:ascii="Times New Roman" w:hAnsi="Times New Roman" w:cs="Times New Roman"/>
          <w:b/>
          <w:bCs/>
          <w:color w:val="000000" w:themeColor="text1"/>
          <w:kern w:val="2"/>
          <w:sz w:val="30"/>
          <w:szCs w:val="30"/>
          <w:lang w:val="en-US" w:bidi="ar-SA"/>
          <w14:textFill>
            <w14:solidFill>
              <w14:schemeClr w14:val="tx1"/>
            </w14:solidFill>
          </w14:textFill>
        </w:rPr>
        <w:t>（二）申报品种资格</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1.属本次</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品种</w:t>
      </w:r>
      <w:r>
        <w:rPr>
          <w:rFonts w:ascii="Times New Roman" w:hAnsi="Times New Roman" w:cs="Times New Roman"/>
          <w:color w:val="000000" w:themeColor="text1"/>
          <w:kern w:val="2"/>
          <w:sz w:val="30"/>
          <w:szCs w:val="30"/>
          <w:lang w:val="en-US" w:bidi="ar-SA"/>
          <w14:textFill>
            <w14:solidFill>
              <w14:schemeClr w14:val="tx1"/>
            </w14:solidFill>
          </w14:textFill>
        </w:rPr>
        <w:t>采购范围</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并</w:t>
      </w:r>
      <w:r>
        <w:rPr>
          <w:rFonts w:ascii="Times New Roman" w:hAnsi="Times New Roman" w:cs="Times New Roman"/>
          <w:color w:val="000000" w:themeColor="text1"/>
          <w:kern w:val="2"/>
          <w:sz w:val="30"/>
          <w:szCs w:val="30"/>
          <w:lang w:val="en-US" w:bidi="ar-SA"/>
          <w14:textFill>
            <w14:solidFill>
              <w14:schemeClr w14:val="tx1"/>
            </w14:solidFill>
          </w14:textFill>
        </w:rPr>
        <w:t>获得国内有效注册批件的上市药品，且满足以下要求之一：</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（1）原研药及药品监督管理</w:t>
      </w:r>
      <w:r>
        <w:rPr>
          <w:rFonts w:hint="eastAsia" w:ascii="Times New Roman" w:hAnsi="Times New Roman" w:cs="Times New Roman"/>
          <w:color w:val="000000" w:themeColor="text1"/>
          <w:kern w:val="2"/>
          <w:sz w:val="30"/>
          <w:szCs w:val="30"/>
          <w:lang w:val="en-US" w:bidi="ar-SA"/>
          <w14:textFill>
            <w14:solidFill>
              <w14:schemeClr w14:val="tx1"/>
            </w14:solidFill>
          </w14:textFill>
        </w:rPr>
        <w:t>部门</w:t>
      </w:r>
      <w:r>
        <w:rPr>
          <w:rFonts w:ascii="Times New Roman" w:hAnsi="Times New Roman" w:cs="Times New Roman"/>
          <w:color w:val="000000" w:themeColor="text1"/>
          <w:kern w:val="2"/>
          <w:sz w:val="30"/>
          <w:szCs w:val="30"/>
          <w:lang w:val="en-US" w:bidi="ar-SA"/>
          <w14:textFill>
            <w14:solidFill>
              <w14:schemeClr w14:val="tx1"/>
            </w14:solidFill>
          </w14:textFill>
        </w:rPr>
        <w:t>发布的仿制药质量和疗效一致性评价参比制剂。</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（2）通过药品监督管理</w:t>
      </w:r>
      <w:r>
        <w:rPr>
          <w:rFonts w:hint="eastAsia" w:ascii="Times New Roman" w:hAnsi="Times New Roman" w:cs="Times New Roman"/>
          <w:color w:val="000000" w:themeColor="text1"/>
          <w:kern w:val="2"/>
          <w:sz w:val="30"/>
          <w:szCs w:val="30"/>
          <w:lang w:val="en-US" w:bidi="ar-SA"/>
          <w14:textFill>
            <w14:solidFill>
              <w14:schemeClr w14:val="tx1"/>
            </w14:solidFill>
          </w14:textFill>
        </w:rPr>
        <w:t>部门</w:t>
      </w:r>
      <w:r>
        <w:rPr>
          <w:rFonts w:ascii="Times New Roman" w:hAnsi="Times New Roman" w:cs="Times New Roman"/>
          <w:color w:val="000000" w:themeColor="text1"/>
          <w:kern w:val="2"/>
          <w:sz w:val="30"/>
          <w:szCs w:val="30"/>
          <w:lang w:val="en-US" w:bidi="ar-SA"/>
          <w14:textFill>
            <w14:solidFill>
              <w14:schemeClr w14:val="tx1"/>
            </w14:solidFill>
          </w14:textFill>
        </w:rPr>
        <w:t>仿制药质量和疗效一致性评价的仿制药品。</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（3）根据《国家食品药品监督管理总局关于发布化学药品注册分类改革工作方案的公告》</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w:t>
      </w:r>
      <w:r>
        <w:rPr>
          <w:rFonts w:ascii="Times New Roman" w:hAnsi="Times New Roman" w:cs="Times New Roman"/>
          <w:color w:val="000000" w:themeColor="text1"/>
          <w:kern w:val="2"/>
          <w:sz w:val="30"/>
          <w:szCs w:val="30"/>
          <w:lang w:val="en-US" w:bidi="ar-SA"/>
          <w14:textFill>
            <w14:solidFill>
              <w14:schemeClr w14:val="tx1"/>
            </w14:solidFill>
          </w14:textFill>
        </w:rPr>
        <w:t>〔2016 年第 51 号〕</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w:t>
      </w:r>
      <w:r>
        <w:rPr>
          <w:rFonts w:ascii="Times New Roman" w:hAnsi="Times New Roman" w:cs="Times New Roman"/>
          <w:color w:val="000000" w:themeColor="text1"/>
          <w:kern w:val="2"/>
          <w:sz w:val="30"/>
          <w:szCs w:val="30"/>
          <w:lang w:val="en-US" w:bidi="ar-SA"/>
          <w14:textFill>
            <w14:solidFill>
              <w14:schemeClr w14:val="tx1"/>
            </w14:solidFill>
          </w14:textFill>
        </w:rPr>
        <w:t>，按化学药品新注册分类批准的仿制药品。</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（4）纳入《中国上市药品目录集》的药品。</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2.属本次</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品种</w:t>
      </w:r>
      <w:r>
        <w:rPr>
          <w:rFonts w:ascii="Times New Roman" w:hAnsi="Times New Roman" w:cs="Times New Roman"/>
          <w:color w:val="000000" w:themeColor="text1"/>
          <w:kern w:val="2"/>
          <w:sz w:val="30"/>
          <w:szCs w:val="30"/>
          <w:lang w:val="en-US" w:bidi="ar-SA"/>
          <w14:textFill>
            <w14:solidFill>
              <w14:schemeClr w14:val="tx1"/>
            </w14:solidFill>
          </w14:textFill>
        </w:rPr>
        <w:t>采购范围</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并</w:t>
      </w:r>
      <w:r>
        <w:rPr>
          <w:rFonts w:ascii="Times New Roman" w:hAnsi="Times New Roman" w:cs="Times New Roman"/>
          <w:color w:val="000000" w:themeColor="text1"/>
          <w:kern w:val="2"/>
          <w:sz w:val="30"/>
          <w:szCs w:val="30"/>
          <w:lang w:val="en-US" w:bidi="ar-SA"/>
          <w14:textFill>
            <w14:solidFill>
              <w14:schemeClr w14:val="tx1"/>
            </w14:solidFill>
          </w14:textFill>
        </w:rPr>
        <w:t>获得国内有效注册批件，但尚未通过一致性评价的上市药品。</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根据《国务院办公厅关于开展仿制药质量和疗效一致性评价的意见》（国办发〔2016〕8号）和《国务院办公厅关于推动药品集中带量采购工作常态化制度化开展的意见》（国办发〔2021〕2号）要求，通过一致性评价的仿制药数量超过3</w:t>
      </w:r>
      <w:r>
        <w:rPr>
          <w:rFonts w:hint="eastAsia" w:ascii="Times New Roman" w:hAnsi="Times New Roman" w:cs="Times New Roman"/>
          <w:color w:val="000000" w:themeColor="text1"/>
          <w:kern w:val="2"/>
          <w:sz w:val="30"/>
          <w:szCs w:val="30"/>
          <w:lang w:val="en-US" w:bidi="ar-SA"/>
          <w14:textFill>
            <w14:solidFill>
              <w14:schemeClr w14:val="tx1"/>
            </w14:solidFill>
          </w14:textFill>
        </w:rPr>
        <w:t>个（含</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本数</w:t>
      </w:r>
      <w:r>
        <w:rPr>
          <w:rFonts w:hint="eastAsia" w:ascii="Times New Roman" w:hAnsi="Times New Roman" w:cs="Times New Roman"/>
          <w:color w:val="000000" w:themeColor="text1"/>
          <w:kern w:val="2"/>
          <w:sz w:val="30"/>
          <w:szCs w:val="30"/>
          <w:lang w:val="en-US" w:bidi="ar-SA"/>
          <w14:textFill>
            <w14:solidFill>
              <w14:schemeClr w14:val="tx1"/>
            </w14:solidFill>
          </w14:textFill>
        </w:rPr>
        <w:t>）且国家已集采的剂型（指医保剂型）</w:t>
      </w:r>
      <w:r>
        <w:rPr>
          <w:rFonts w:ascii="Times New Roman" w:hAnsi="Times New Roman" w:cs="Times New Roman"/>
          <w:color w:val="000000" w:themeColor="text1"/>
          <w:kern w:val="2"/>
          <w:sz w:val="30"/>
          <w:szCs w:val="30"/>
          <w:lang w:val="en-US" w:bidi="ar-SA"/>
          <w14:textFill>
            <w14:solidFill>
              <w14:schemeClr w14:val="tx1"/>
            </w14:solidFill>
          </w14:textFill>
        </w:rPr>
        <w:t>，未通过一致性评价的</w:t>
      </w:r>
      <w:r>
        <w:rPr>
          <w:rFonts w:hint="eastAsia" w:ascii="Times New Roman" w:hAnsi="Times New Roman" w:cs="Times New Roman"/>
          <w:color w:val="000000" w:themeColor="text1"/>
          <w:kern w:val="2"/>
          <w:sz w:val="30"/>
          <w:szCs w:val="30"/>
          <w:lang w:val="en-US" w:bidi="ar-SA"/>
          <w14:textFill>
            <w14:solidFill>
              <w14:schemeClr w14:val="tx1"/>
            </w14:solidFill>
          </w14:textFill>
        </w:rPr>
        <w:t>仿制药</w:t>
      </w:r>
      <w:r>
        <w:rPr>
          <w:rFonts w:ascii="Times New Roman" w:hAnsi="Times New Roman" w:cs="Times New Roman"/>
          <w:color w:val="000000" w:themeColor="text1"/>
          <w:kern w:val="2"/>
          <w:sz w:val="30"/>
          <w:szCs w:val="30"/>
          <w:lang w:val="en-US" w:bidi="ar-SA"/>
          <w14:textFill>
            <w14:solidFill>
              <w14:schemeClr w14:val="tx1"/>
            </w14:solidFill>
          </w14:textFill>
        </w:rPr>
        <w:t>不符合申报资格</w:t>
      </w:r>
      <w:r>
        <w:rPr>
          <w:rFonts w:hint="eastAsia" w:ascii="Times New Roman" w:hAnsi="Times New Roman" w:cs="Times New Roman"/>
          <w:color w:val="000000" w:themeColor="text1"/>
          <w:kern w:val="2"/>
          <w:sz w:val="30"/>
          <w:szCs w:val="30"/>
          <w:lang w:val="en-US" w:bidi="ar-SA"/>
          <w14:textFill>
            <w14:solidFill>
              <w14:schemeClr w14:val="tx1"/>
            </w14:solidFill>
          </w14:textFill>
        </w:rPr>
        <w:t>，认定截止时间为本采购文件发布当</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日</w:t>
      </w:r>
      <w:r>
        <w:rPr>
          <w:rFonts w:hint="eastAsia" w:ascii="Times New Roman" w:hAnsi="Times New Roman" w:cs="Times New Roman"/>
          <w:color w:val="000000" w:themeColor="text1"/>
          <w:kern w:val="2"/>
          <w:sz w:val="30"/>
          <w:szCs w:val="30"/>
          <w:lang w:val="en-US" w:bidi="ar-SA"/>
          <w14:textFill>
            <w14:solidFill>
              <w14:schemeClr w14:val="tx1"/>
            </w14:solidFill>
          </w14:textFill>
        </w:rPr>
        <w:t>。</w:t>
      </w:r>
    </w:p>
    <w:p>
      <w:pPr>
        <w:autoSpaceDE/>
        <w:autoSpaceDN/>
        <w:spacing w:line="560" w:lineRule="exact"/>
        <w:ind w:firstLine="602" w:firstLineChars="200"/>
        <w:jc w:val="both"/>
        <w:rPr>
          <w:rFonts w:ascii="Times New Roman" w:hAnsi="Times New Roman" w:cs="Times New Roman"/>
          <w:b/>
          <w:bCs/>
          <w:color w:val="000000" w:themeColor="text1"/>
          <w:kern w:val="2"/>
          <w:sz w:val="30"/>
          <w:szCs w:val="30"/>
          <w:lang w:val="en-US" w:bidi="ar-SA"/>
          <w14:textFill>
            <w14:solidFill>
              <w14:schemeClr w14:val="tx1"/>
            </w14:solidFill>
          </w14:textFill>
        </w:rPr>
      </w:pPr>
      <w:r>
        <w:rPr>
          <w:rFonts w:ascii="Times New Roman" w:hAnsi="Times New Roman" w:cs="Times New Roman"/>
          <w:b/>
          <w:bCs/>
          <w:color w:val="000000" w:themeColor="text1"/>
          <w:kern w:val="2"/>
          <w:sz w:val="30"/>
          <w:szCs w:val="30"/>
          <w:lang w:val="en-US" w:bidi="ar-SA"/>
          <w14:textFill>
            <w14:solidFill>
              <w14:schemeClr w14:val="tx1"/>
            </w14:solidFill>
          </w14:textFill>
        </w:rPr>
        <w:t>（三）其他申报要求</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1.申报企业须确保在采购周期内满足联盟地区采购主体</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的采购需求</w:t>
      </w:r>
      <w:r>
        <w:rPr>
          <w:rFonts w:hint="eastAsia" w:ascii="Times New Roman" w:hAnsi="Times New Roman" w:cs="Times New Roman"/>
          <w:color w:val="000000" w:themeColor="text1"/>
          <w:kern w:val="2"/>
          <w:sz w:val="30"/>
          <w:szCs w:val="30"/>
          <w:lang w:val="en-US" w:bidi="ar-SA"/>
          <w14:textFill>
            <w14:solidFill>
              <w14:schemeClr w14:val="tx1"/>
            </w14:solidFill>
          </w14:textFill>
        </w:rPr>
        <w:t>，包括预采购量以及超过预采购量的部分。</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2.申报企业需明确供应产品清单以及供应主体范围（即公立医疗机构/</w:t>
      </w:r>
      <w:r>
        <w:rPr>
          <w:rFonts w:ascii="Times New Roman" w:hAnsi="Times New Roman" w:cs="Times New Roman"/>
          <w:color w:val="000000" w:themeColor="text1"/>
          <w:kern w:val="2"/>
          <w:sz w:val="30"/>
          <w:szCs w:val="30"/>
          <w:lang w:val="en-US" w:bidi="ar-SA"/>
          <w14:textFill>
            <w14:solidFill>
              <w14:schemeClr w14:val="tx1"/>
            </w14:solidFill>
          </w14:textFill>
        </w:rPr>
        <w:t>医保定点社会办医疗机构</w:t>
      </w:r>
      <w:r>
        <w:rPr>
          <w:rFonts w:hint="eastAsia" w:ascii="Times New Roman" w:hAnsi="Times New Roman" w:cs="Times New Roman"/>
          <w:color w:val="000000" w:themeColor="text1"/>
          <w:kern w:val="2"/>
          <w:sz w:val="30"/>
          <w:szCs w:val="30"/>
          <w:lang w:val="en-US" w:bidi="ar-SA"/>
          <w14:textFill>
            <w14:solidFill>
              <w14:schemeClr w14:val="tx1"/>
            </w14:solidFill>
          </w14:textFill>
        </w:rPr>
        <w:t>/</w:t>
      </w:r>
      <w:r>
        <w:rPr>
          <w:rFonts w:ascii="Times New Roman" w:hAnsi="Times New Roman" w:cs="Times New Roman"/>
          <w:color w:val="000000" w:themeColor="text1"/>
          <w:kern w:val="2"/>
          <w:sz w:val="30"/>
          <w:szCs w:val="30"/>
          <w:lang w:val="en-US" w:bidi="ar-SA"/>
          <w14:textFill>
            <w14:solidFill>
              <w14:schemeClr w14:val="tx1"/>
            </w14:solidFill>
          </w14:textFill>
        </w:rPr>
        <w:t>定点药店</w:t>
      </w:r>
      <w:r>
        <w:rPr>
          <w:rFonts w:hint="eastAsia" w:ascii="Times New Roman" w:hAnsi="Times New Roman" w:cs="Times New Roman"/>
          <w:color w:val="000000" w:themeColor="text1"/>
          <w:kern w:val="2"/>
          <w:sz w:val="30"/>
          <w:szCs w:val="30"/>
          <w:lang w:val="en-US" w:bidi="ar-SA"/>
          <w14:textFill>
            <w14:solidFill>
              <w14:schemeClr w14:val="tx1"/>
            </w14:solidFill>
          </w14:textFill>
        </w:rPr>
        <w:t>）。</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3.申报企业应遵守《专利法》《反不正当竞争法》等相关法律法规，并承担相应法律责任。</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4.申报企业未被列入当前《全国医药价格和招采失信企业风险警示名单》。</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5.申报药品应当符合国家药品标准和经药品监督管理部门核准的药品质量标准，并按照国家药监局药审中心关于发布《化学药物中亚硝胺类杂质研究技术指导原则（试行）》的通告（2020年1号）组织生产。</w:t>
      </w:r>
    </w:p>
    <w:p>
      <w:pPr>
        <w:autoSpaceDE/>
        <w:autoSpaceDN/>
        <w:spacing w:line="560" w:lineRule="exact"/>
        <w:ind w:firstLine="600" w:firstLineChars="200"/>
        <w:jc w:val="both"/>
        <w:rPr>
          <w:rFonts w:ascii="Times New Roman" w:hAnsi="Times New Roman" w:eastAsia="黑体" w:cs="Times New Roman"/>
          <w:color w:val="000000" w:themeColor="text1"/>
          <w:kern w:val="2"/>
          <w:sz w:val="30"/>
          <w:szCs w:val="30"/>
          <w:lang w:val="en-US" w:bidi="ar-SA"/>
          <w14:textFill>
            <w14:solidFill>
              <w14:schemeClr w14:val="tx1"/>
            </w14:solidFill>
          </w14:textFill>
        </w:rPr>
      </w:pPr>
      <w:r>
        <w:rPr>
          <w:rFonts w:ascii="Times New Roman" w:hAnsi="Times New Roman" w:eastAsia="黑体" w:cs="Times New Roman"/>
          <w:color w:val="000000" w:themeColor="text1"/>
          <w:kern w:val="2"/>
          <w:sz w:val="30"/>
          <w:szCs w:val="30"/>
          <w:lang w:val="en-US" w:bidi="ar-SA"/>
          <w14:textFill>
            <w14:solidFill>
              <w14:schemeClr w14:val="tx1"/>
            </w14:solidFill>
          </w14:textFill>
        </w:rPr>
        <w:t>五、采购产品清单</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本次联盟地区集团带量</w:t>
      </w:r>
      <w:r>
        <w:rPr>
          <w:rFonts w:ascii="Times New Roman" w:hAnsi="Times New Roman" w:cs="Times New Roman"/>
          <w:color w:val="000000" w:themeColor="text1"/>
          <w:kern w:val="2"/>
          <w:sz w:val="30"/>
          <w:szCs w:val="30"/>
          <w:lang w:val="en-US" w:bidi="ar-SA"/>
          <w14:textFill>
            <w14:solidFill>
              <w14:schemeClr w14:val="tx1"/>
            </w14:solidFill>
          </w14:textFill>
        </w:rPr>
        <w:t>采购</w:t>
      </w:r>
      <w:r>
        <w:rPr>
          <w:rFonts w:hint="eastAsia" w:ascii="Times New Roman" w:hAnsi="Times New Roman" w:cs="Times New Roman"/>
          <w:color w:val="000000" w:themeColor="text1"/>
          <w:kern w:val="2"/>
          <w:sz w:val="30"/>
          <w:szCs w:val="30"/>
          <w:lang w:val="en-US" w:bidi="ar-SA"/>
          <w14:textFill>
            <w14:solidFill>
              <w14:schemeClr w14:val="tx1"/>
            </w14:solidFill>
          </w14:textFill>
        </w:rPr>
        <w:t>产品清单以品种序号和类别区分详见附表1。</w:t>
      </w:r>
    </w:p>
    <w:p>
      <w:pPr>
        <w:autoSpaceDE/>
        <w:autoSpaceDN/>
        <w:spacing w:line="560" w:lineRule="exact"/>
        <w:ind w:firstLine="602" w:firstLineChars="200"/>
        <w:jc w:val="both"/>
        <w:rPr>
          <w:rFonts w:ascii="Times New Roman" w:hAnsi="Times New Roman" w:cs="Times New Roman"/>
          <w:b/>
          <w:bCs/>
          <w:color w:val="000000" w:themeColor="text1"/>
          <w:kern w:val="2"/>
          <w:sz w:val="30"/>
          <w:szCs w:val="30"/>
          <w:lang w:val="en-US" w:bidi="ar-SA"/>
          <w14:textFill>
            <w14:solidFill>
              <w14:schemeClr w14:val="tx1"/>
            </w14:solidFill>
          </w14:textFill>
        </w:rPr>
      </w:pPr>
      <w:r>
        <w:rPr>
          <w:rFonts w:ascii="Times New Roman" w:hAnsi="Times New Roman" w:cs="Times New Roman"/>
          <w:b/>
          <w:bCs/>
          <w:color w:val="000000" w:themeColor="text1"/>
          <w:kern w:val="2"/>
          <w:sz w:val="30"/>
          <w:szCs w:val="30"/>
          <w:lang w:val="en-US" w:bidi="ar-SA"/>
          <w14:textFill>
            <w14:solidFill>
              <w14:schemeClr w14:val="tx1"/>
            </w14:solidFill>
          </w14:textFill>
        </w:rPr>
        <w:t>（一）医疗机构的报量</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1.</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本次品种范围的药品</w:t>
      </w:r>
      <w:r>
        <w:rPr>
          <w:rFonts w:ascii="Times New Roman" w:hAnsi="Times New Roman" w:cs="Times New Roman"/>
          <w:color w:val="000000" w:themeColor="text1"/>
          <w:kern w:val="2"/>
          <w:sz w:val="30"/>
          <w:szCs w:val="30"/>
          <w:lang w:val="en-US" w:bidi="ar-SA"/>
          <w14:textFill>
            <w14:solidFill>
              <w14:schemeClr w14:val="tx1"/>
            </w14:solidFill>
          </w14:textFill>
        </w:rPr>
        <w:t>参与报量的联盟地区包括广东、</w:t>
      </w:r>
      <w:r>
        <w:rPr>
          <w:rFonts w:hint="eastAsia" w:ascii="Times New Roman" w:hAnsi="Times New Roman" w:cs="Times New Roman"/>
          <w:color w:val="000000" w:themeColor="text1"/>
          <w:kern w:val="2"/>
          <w:sz w:val="30"/>
          <w:szCs w:val="30"/>
          <w:lang w:val="en-US" w:bidi="ar-SA"/>
          <w14:textFill>
            <w14:solidFill>
              <w14:schemeClr w14:val="tx1"/>
            </w14:solidFill>
          </w14:textFill>
        </w:rPr>
        <w:t>山西、江西、河南、湖南、广西、海南、贵州、甘肃、青海、宁夏、新疆、新疆生产建设兵团。</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2.</w:t>
      </w:r>
      <w:r>
        <w:rPr>
          <w:rFonts w:ascii="Times New Roman" w:hAnsi="Times New Roman" w:cs="Times New Roman"/>
          <w:color w:val="000000" w:themeColor="text1"/>
          <w:kern w:val="2"/>
          <w:sz w:val="30"/>
          <w:szCs w:val="30"/>
          <w:lang w:val="en-US" w:bidi="ar-SA"/>
          <w14:textFill>
            <w14:solidFill>
              <w14:schemeClr w14:val="tx1"/>
            </w14:solidFill>
          </w14:textFill>
        </w:rPr>
        <w:t>采购产品清单</w:t>
      </w:r>
      <w:r>
        <w:rPr>
          <w:rFonts w:hint="eastAsia" w:ascii="Times New Roman" w:hAnsi="Times New Roman" w:cs="Times New Roman"/>
          <w:color w:val="000000" w:themeColor="text1"/>
          <w:kern w:val="2"/>
          <w:sz w:val="30"/>
          <w:szCs w:val="30"/>
          <w:lang w:val="en-US" w:bidi="ar-SA"/>
          <w14:textFill>
            <w14:solidFill>
              <w14:schemeClr w14:val="tx1"/>
            </w14:solidFill>
          </w14:textFill>
        </w:rPr>
        <w:t>区分过评类和非过评类，过评</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类药品</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由</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公立</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医疗机构对应批准文号、剂型、规格等填报下年度预采购量</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，按照同</w:t>
      </w:r>
      <w:r>
        <w:rPr>
          <w:rFonts w:hint="eastAsia" w:ascii="Times New Roman" w:hAnsi="Times New Roman" w:cs="Times New Roman"/>
          <w:color w:val="000000" w:themeColor="text1"/>
          <w:kern w:val="2"/>
          <w:sz w:val="30"/>
          <w:szCs w:val="30"/>
          <w:highlight w:val="none"/>
          <w:lang w:val="en-US" w:eastAsia="zh-CN" w:bidi="ar-SA"/>
          <w14:textFill>
            <w14:solidFill>
              <w14:schemeClr w14:val="tx1"/>
            </w14:solidFill>
          </w14:textFill>
        </w:rPr>
        <w:t>品种序号同医保剂型</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分别计算每一家企业下年度预采购总量占联盟地区</w:t>
      </w:r>
      <w:r>
        <w:rPr>
          <w:rFonts w:hint="eastAsia" w:ascii="Times New Roman" w:hAnsi="Times New Roman" w:cs="Times New Roman"/>
          <w:color w:val="000000" w:themeColor="text1"/>
          <w:kern w:val="2"/>
          <w:sz w:val="30"/>
          <w:szCs w:val="30"/>
          <w:lang w:val="en-US" w:bidi="ar-SA"/>
          <w14:textFill>
            <w14:solidFill>
              <w14:schemeClr w14:val="tx1"/>
            </w14:solidFill>
          </w14:textFill>
        </w:rPr>
        <w:t>下年度预采购总量的比例，按其占比从高到低累计达？%的企业列入过评A采购单，剩余的列入过评B采购单。非过评类全部列入非过评B采购单。上述预采购量仅按公立医疗机构填报的</w:t>
      </w:r>
      <w:r>
        <w:rPr>
          <w:rFonts w:ascii="Times New Roman" w:hAnsi="Times New Roman" w:cs="Times New Roman"/>
          <w:color w:val="000000" w:themeColor="text1"/>
          <w:kern w:val="2"/>
          <w:sz w:val="30"/>
          <w:szCs w:val="30"/>
          <w:lang w:val="en-US" w:bidi="ar-SA"/>
          <w14:textFill>
            <w14:solidFill>
              <w14:schemeClr w14:val="tx1"/>
            </w14:solidFill>
          </w14:textFill>
        </w:rPr>
        <w:t>下年度预采购量</w:t>
      </w:r>
      <w:r>
        <w:rPr>
          <w:rFonts w:hint="eastAsia" w:ascii="Times New Roman" w:hAnsi="Times New Roman" w:cs="Times New Roman"/>
          <w:color w:val="000000" w:themeColor="text1"/>
          <w:kern w:val="2"/>
          <w:sz w:val="30"/>
          <w:szCs w:val="30"/>
          <w:lang w:val="en-US" w:bidi="ar-SA"/>
          <w14:textFill>
            <w14:solidFill>
              <w14:schemeClr w14:val="tx1"/>
            </w14:solidFill>
          </w14:textFill>
        </w:rPr>
        <w:t>进行统计，</w:t>
      </w:r>
      <w:r>
        <w:rPr>
          <w:rFonts w:ascii="Times New Roman" w:hAnsi="Times New Roman" w:cs="Times New Roman"/>
          <w:color w:val="000000" w:themeColor="text1"/>
          <w:kern w:val="2"/>
          <w:sz w:val="30"/>
          <w:szCs w:val="30"/>
          <w:lang w:val="en-US" w:bidi="ar-SA"/>
          <w14:textFill>
            <w14:solidFill>
              <w14:schemeClr w14:val="tx1"/>
            </w14:solidFill>
          </w14:textFill>
        </w:rPr>
        <w:t>医保定点社会办医疗机构</w:t>
      </w:r>
      <w:r>
        <w:rPr>
          <w:rFonts w:hint="eastAsia" w:ascii="Times New Roman" w:hAnsi="Times New Roman" w:cs="Times New Roman"/>
          <w:color w:val="000000" w:themeColor="text1"/>
          <w:kern w:val="2"/>
          <w:sz w:val="30"/>
          <w:szCs w:val="30"/>
          <w:lang w:val="en-US" w:bidi="ar-SA"/>
          <w14:textFill>
            <w14:solidFill>
              <w14:schemeClr w14:val="tx1"/>
            </w14:solidFill>
          </w14:textFill>
        </w:rPr>
        <w:t>和</w:t>
      </w:r>
      <w:r>
        <w:rPr>
          <w:rFonts w:ascii="Times New Roman" w:hAnsi="Times New Roman" w:cs="Times New Roman"/>
          <w:color w:val="000000" w:themeColor="text1"/>
          <w:kern w:val="2"/>
          <w:sz w:val="30"/>
          <w:szCs w:val="30"/>
          <w:lang w:val="en-US" w:bidi="ar-SA"/>
          <w14:textFill>
            <w14:solidFill>
              <w14:schemeClr w14:val="tx1"/>
            </w14:solidFill>
          </w14:textFill>
        </w:rPr>
        <w:t>定点药店</w:t>
      </w:r>
      <w:r>
        <w:rPr>
          <w:rFonts w:hint="eastAsia" w:ascii="Times New Roman" w:hAnsi="Times New Roman" w:cs="Times New Roman"/>
          <w:color w:val="000000" w:themeColor="text1"/>
          <w:kern w:val="2"/>
          <w:sz w:val="30"/>
          <w:szCs w:val="30"/>
          <w:lang w:val="en-US" w:bidi="ar-SA"/>
          <w14:textFill>
            <w14:solidFill>
              <w14:schemeClr w14:val="tx1"/>
            </w14:solidFill>
          </w14:textFill>
        </w:rPr>
        <w:t>另行单独统计。</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3.不同通用名药品合并竞价的，按照同品种序号和类别计算每一家企业下年度预采购总量占联盟地区下年度预采购总量的比例。</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若在本采购文件发布</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当日之</w:t>
      </w:r>
      <w:r>
        <w:rPr>
          <w:rFonts w:hint="eastAsia" w:ascii="Times New Roman" w:hAnsi="Times New Roman" w:cs="Times New Roman"/>
          <w:color w:val="000000" w:themeColor="text1"/>
          <w:kern w:val="2"/>
          <w:sz w:val="30"/>
          <w:szCs w:val="30"/>
          <w:lang w:val="en-US" w:bidi="ar-SA"/>
          <w14:textFill>
            <w14:solidFill>
              <w14:schemeClr w14:val="tx1"/>
            </w14:solidFill>
          </w14:textFill>
        </w:rPr>
        <w:t>后通过一致性评价的，但本采购文件所列为非过评的产品，其医疗机构</w:t>
      </w:r>
      <w:r>
        <w:rPr>
          <w:rFonts w:ascii="Times New Roman" w:hAnsi="Times New Roman" w:cs="Times New Roman"/>
          <w:color w:val="000000" w:themeColor="text1"/>
          <w:kern w:val="2"/>
          <w:sz w:val="30"/>
          <w:szCs w:val="30"/>
          <w:lang w:val="en-US" w:bidi="ar-SA"/>
          <w14:textFill>
            <w14:solidFill>
              <w14:schemeClr w14:val="tx1"/>
            </w14:solidFill>
          </w14:textFill>
        </w:rPr>
        <w:t>下年度预采购量</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仍</w:t>
      </w:r>
      <w:r>
        <w:rPr>
          <w:rFonts w:hint="eastAsia" w:ascii="Times New Roman" w:hAnsi="Times New Roman" w:cs="Times New Roman"/>
          <w:color w:val="000000" w:themeColor="text1"/>
          <w:kern w:val="2"/>
          <w:sz w:val="30"/>
          <w:szCs w:val="30"/>
          <w:lang w:val="en-US" w:bidi="ar-SA"/>
          <w14:textFill>
            <w14:solidFill>
              <w14:schemeClr w14:val="tx1"/>
            </w14:solidFill>
          </w14:textFill>
        </w:rPr>
        <w:t>按非过评进行归类。</w:t>
      </w:r>
    </w:p>
    <w:p>
      <w:pPr>
        <w:autoSpaceDE/>
        <w:autoSpaceDN/>
        <w:spacing w:line="560" w:lineRule="exact"/>
        <w:ind w:firstLine="602" w:firstLineChars="200"/>
        <w:jc w:val="both"/>
        <w:rPr>
          <w:lang w:val="en-US"/>
        </w:rPr>
      </w:pPr>
      <w:r>
        <w:rPr>
          <w:rFonts w:ascii="Times New Roman" w:hAnsi="Times New Roman" w:cs="Times New Roman"/>
          <w:b/>
          <w:bCs/>
          <w:color w:val="000000" w:themeColor="text1"/>
          <w:kern w:val="2"/>
          <w:sz w:val="30"/>
          <w:szCs w:val="30"/>
          <w:lang w:val="en-US" w:bidi="ar-SA"/>
          <w14:textFill>
            <w14:solidFill>
              <w14:schemeClr w14:val="tx1"/>
            </w14:solidFill>
          </w14:textFill>
        </w:rPr>
        <w:t>（二） 采购单的形成</w:t>
      </w:r>
    </w:p>
    <w:p>
      <w:pPr>
        <w:autoSpaceDE/>
        <w:autoSpaceDN/>
        <w:spacing w:line="60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1.采购产品清单</w:t>
      </w:r>
      <w:r>
        <w:rPr>
          <w:rFonts w:ascii="Times New Roman" w:hAnsi="Times New Roman" w:cs="Times New Roman"/>
          <w:color w:val="000000" w:themeColor="text1"/>
          <w:kern w:val="2"/>
          <w:sz w:val="30"/>
          <w:szCs w:val="30"/>
          <w:lang w:val="en-US" w:bidi="ar-SA"/>
          <w14:textFill>
            <w14:solidFill>
              <w14:schemeClr w14:val="tx1"/>
            </w14:solidFill>
          </w14:textFill>
        </w:rPr>
        <w:t>分为两类：</w:t>
      </w:r>
    </w:p>
    <w:p>
      <w:pPr>
        <w:autoSpaceDE/>
        <w:autoSpaceDN/>
        <w:spacing w:line="600" w:lineRule="exact"/>
        <w:ind w:firstLine="600" w:firstLineChars="200"/>
        <w:jc w:val="both"/>
        <w:rPr>
          <w:rFonts w:ascii="Times New Roman" w:hAnsi="Times New Roman" w:cs="Times New Roman"/>
          <w:color w:val="000000" w:themeColor="text1"/>
          <w:kern w:val="2"/>
          <w:sz w:val="30"/>
          <w:szCs w:val="30"/>
          <w:highlight w:val="none"/>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（1）</w:t>
      </w:r>
      <w:r>
        <w:rPr>
          <w:rFonts w:ascii="Times New Roman" w:hAnsi="Times New Roman" w:cs="Times New Roman"/>
          <w:color w:val="000000" w:themeColor="text1"/>
          <w:kern w:val="2"/>
          <w:sz w:val="30"/>
          <w:szCs w:val="30"/>
          <w:lang w:val="en-US" w:bidi="ar-SA"/>
          <w14:textFill>
            <w14:solidFill>
              <w14:schemeClr w14:val="tx1"/>
            </w14:solidFill>
          </w14:textFill>
        </w:rPr>
        <w:t>通过一</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致性评价的仿制药、原研药和参比制剂</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归为过评类。</w:t>
      </w:r>
    </w:p>
    <w:p>
      <w:pPr>
        <w:autoSpaceDE/>
        <w:autoSpaceDN/>
        <w:spacing w:line="600" w:lineRule="exact"/>
        <w:ind w:firstLine="600" w:firstLineChars="200"/>
        <w:jc w:val="both"/>
        <w:rPr>
          <w:rFonts w:ascii="Times New Roman" w:hAnsi="Times New Roman" w:cs="Times New Roman"/>
          <w:color w:val="000000" w:themeColor="text1"/>
          <w:kern w:val="2"/>
          <w:sz w:val="30"/>
          <w:szCs w:val="30"/>
          <w:highlight w:val="none"/>
          <w:lang w:val="en-US" w:bidi="ar-SA"/>
          <w14:textFill>
            <w14:solidFill>
              <w14:schemeClr w14:val="tx1"/>
            </w14:solidFill>
          </w14:textFill>
        </w:rPr>
      </w:pP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①若符合报名资格同</w:t>
      </w:r>
      <w:r>
        <w:rPr>
          <w:rFonts w:hint="eastAsia" w:ascii="Times New Roman" w:hAnsi="Times New Roman" w:cs="Times New Roman"/>
          <w:color w:val="000000" w:themeColor="text1"/>
          <w:kern w:val="2"/>
          <w:sz w:val="30"/>
          <w:szCs w:val="30"/>
          <w:highlight w:val="none"/>
          <w:lang w:val="en-US" w:eastAsia="zh-CN" w:bidi="ar-SA"/>
          <w14:textFill>
            <w14:solidFill>
              <w14:schemeClr w14:val="tx1"/>
            </w14:solidFill>
          </w14:textFill>
        </w:rPr>
        <w:t>品种序号同医保剂型</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过评B采购单仅有1家的，列入过评A采购单，不设过评B采购单。</w:t>
      </w:r>
    </w:p>
    <w:p>
      <w:pPr>
        <w:autoSpaceDE/>
        <w:autoSpaceDN/>
        <w:spacing w:line="60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②若不同通用名药品合并竞价的，同是</w:t>
      </w:r>
      <w:r>
        <w:rPr>
          <w:rFonts w:ascii="Times New Roman" w:hAnsi="Times New Roman" w:cs="Times New Roman"/>
          <w:color w:val="000000" w:themeColor="text1"/>
          <w:kern w:val="2"/>
          <w:sz w:val="30"/>
          <w:szCs w:val="30"/>
          <w:lang w:val="en-US" w:bidi="ar-SA"/>
          <w14:textFill>
            <w14:solidFill>
              <w14:schemeClr w14:val="tx1"/>
            </w14:solidFill>
          </w14:textFill>
        </w:rPr>
        <w:t>通过一致性评价的仿制药、原研药和参比制剂</w:t>
      </w:r>
      <w:r>
        <w:rPr>
          <w:rFonts w:hint="eastAsia" w:ascii="Times New Roman" w:hAnsi="Times New Roman" w:cs="Times New Roman"/>
          <w:color w:val="000000" w:themeColor="text1"/>
          <w:kern w:val="2"/>
          <w:sz w:val="30"/>
          <w:szCs w:val="30"/>
          <w:lang w:val="en-US" w:bidi="ar-SA"/>
          <w14:textFill>
            <w14:solidFill>
              <w14:schemeClr w14:val="tx1"/>
            </w14:solidFill>
          </w14:textFill>
        </w:rPr>
        <w:t>列入过评A采购单。</w:t>
      </w:r>
    </w:p>
    <w:p>
      <w:pPr>
        <w:autoSpaceDE/>
        <w:autoSpaceDN/>
        <w:spacing w:line="600" w:lineRule="exact"/>
        <w:ind w:firstLine="600" w:firstLineChars="200"/>
        <w:jc w:val="both"/>
        <w:rPr>
          <w:rFonts w:ascii="Times New Roman" w:hAnsi="Times New Roman" w:cs="Times New Roman"/>
          <w:color w:val="000000" w:themeColor="text1"/>
          <w:kern w:val="2"/>
          <w:sz w:val="30"/>
          <w:szCs w:val="30"/>
          <w:highlight w:val="none"/>
          <w:lang w:val="en-US" w:bidi="ar-SA"/>
          <w14:textFill>
            <w14:solidFill>
              <w14:schemeClr w14:val="tx1"/>
            </w14:solidFill>
          </w14:textFill>
        </w:rPr>
      </w:pP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③若同通用名剂型为独家的，原则可按同一给药途径</w:t>
      </w:r>
      <w:r>
        <w:rPr>
          <w:rFonts w:hint="eastAsia" w:ascii="Times New Roman" w:hAnsi="Times New Roman" w:cs="Times New Roman"/>
          <w:color w:val="000000" w:themeColor="text1"/>
          <w:kern w:val="2"/>
          <w:sz w:val="30"/>
          <w:szCs w:val="30"/>
          <w:highlight w:val="none"/>
          <w:lang w:val="en-US" w:eastAsia="zh-CN" w:bidi="ar-SA"/>
          <w14:textFill>
            <w14:solidFill>
              <w14:schemeClr w14:val="tx1"/>
            </w14:solidFill>
          </w14:textFill>
        </w:rPr>
        <w:t>或存在差比价关系的剂型</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合并采购单。</w:t>
      </w:r>
    </w:p>
    <w:p>
      <w:pPr>
        <w:numPr>
          <w:ilvl w:val="0"/>
          <w:numId w:val="2"/>
        </w:numPr>
        <w:autoSpaceDE/>
        <w:autoSpaceDN/>
        <w:spacing w:line="600" w:lineRule="exact"/>
        <w:ind w:firstLine="600" w:firstLineChars="200"/>
        <w:jc w:val="both"/>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pPr>
      <w:r>
        <w:rPr>
          <w:rFonts w:ascii="Times New Roman" w:hAnsi="Times New Roman" w:cs="Times New Roman"/>
          <w:color w:val="000000" w:themeColor="text1"/>
          <w:kern w:val="2"/>
          <w:sz w:val="30"/>
          <w:szCs w:val="30"/>
          <w:highlight w:val="none"/>
          <w:lang w:val="en-US" w:bidi="ar-SA"/>
          <w14:textFill>
            <w14:solidFill>
              <w14:schemeClr w14:val="tx1"/>
            </w14:solidFill>
          </w14:textFill>
        </w:rPr>
        <w:t>未通</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过一致性评价的仿制药归为非过评类</w:t>
      </w:r>
      <w:r>
        <w:rPr>
          <w:rFonts w:hint="eastAsia" w:ascii="Times New Roman" w:hAnsi="Times New Roman" w:cs="Times New Roman"/>
          <w:color w:val="000000" w:themeColor="text1"/>
          <w:kern w:val="2"/>
          <w:sz w:val="30"/>
          <w:szCs w:val="30"/>
          <w:highlight w:val="none"/>
          <w:lang w:val="en-US" w:eastAsia="zh-CN" w:bidi="ar-SA"/>
          <w14:textFill>
            <w14:solidFill>
              <w14:schemeClr w14:val="tx1"/>
            </w14:solidFill>
          </w14:textFill>
        </w:rPr>
        <w:t>，仅设非过评B采购单；同品种存在差比价关系的剂型</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合并</w:t>
      </w:r>
      <w:r>
        <w:rPr>
          <w:rFonts w:hint="eastAsia" w:ascii="Times New Roman" w:hAnsi="Times New Roman" w:cs="Times New Roman"/>
          <w:color w:val="000000" w:themeColor="text1"/>
          <w:kern w:val="2"/>
          <w:sz w:val="30"/>
          <w:szCs w:val="30"/>
          <w:highlight w:val="none"/>
          <w:lang w:val="en-US" w:eastAsia="zh-CN" w:bidi="ar-SA"/>
          <w14:textFill>
            <w14:solidFill>
              <w14:schemeClr w14:val="tx1"/>
            </w14:solidFill>
          </w14:textFill>
        </w:rPr>
        <w:t>类别竞价</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w:t>
      </w:r>
    </w:p>
    <w:p>
      <w:pPr>
        <w:numPr>
          <w:ilvl w:val="0"/>
          <w:numId w:val="2"/>
        </w:numPr>
        <w:autoSpaceDE/>
        <w:autoSpaceDN/>
        <w:spacing w:line="600" w:lineRule="exact"/>
        <w:ind w:firstLine="600" w:firstLineChars="200"/>
        <w:jc w:val="both"/>
        <w:rPr>
          <w:rFonts w:hint="default" w:ascii="Times New Roman" w:hAnsi="Times New Roman" w:cs="Times New Roman"/>
          <w:color w:val="000000" w:themeColor="text1"/>
          <w:kern w:val="2"/>
          <w:sz w:val="30"/>
          <w:szCs w:val="30"/>
          <w:lang w:val="en-US" w:eastAsia="zh-CN" w:bidi="ar-SA"/>
          <w14:textFill>
            <w14:solidFill>
              <w14:schemeClr w14:val="tx1"/>
            </w14:solidFill>
          </w14:textFill>
        </w:rPr>
      </w:pPr>
      <w:r>
        <w:rPr>
          <w:rFonts w:hint="eastAsia" w:ascii="Times New Roman" w:hAnsi="Times New Roman" w:cs="Times New Roman"/>
          <w:color w:val="000000" w:themeColor="text1"/>
          <w:kern w:val="2"/>
          <w:sz w:val="30"/>
          <w:szCs w:val="30"/>
          <w:highlight w:val="none"/>
          <w:lang w:val="en-US" w:eastAsia="zh-CN" w:bidi="ar-SA"/>
          <w14:textFill>
            <w14:solidFill>
              <w14:schemeClr w14:val="tx1"/>
            </w14:solidFill>
          </w14:textFill>
        </w:rPr>
        <w:t>若</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同</w:t>
      </w:r>
      <w:r>
        <w:rPr>
          <w:rFonts w:hint="eastAsia" w:ascii="Times New Roman" w:hAnsi="Times New Roman" w:cs="Times New Roman"/>
          <w:color w:val="000000" w:themeColor="text1"/>
          <w:kern w:val="2"/>
          <w:sz w:val="30"/>
          <w:szCs w:val="30"/>
          <w:highlight w:val="none"/>
          <w:lang w:val="en-US" w:eastAsia="zh-CN" w:bidi="ar-SA"/>
          <w14:textFill>
            <w14:solidFill>
              <w14:schemeClr w14:val="tx1"/>
            </w14:solidFill>
          </w14:textFill>
        </w:rPr>
        <w:t>品种序号同医保剂型过评</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采购单仅有1家的，且非过评B采购单仅有1家的，过评与非过评合并列入过评A采购单。</w:t>
      </w:r>
    </w:p>
    <w:p>
      <w:pPr>
        <w:numPr>
          <w:ilvl w:val="0"/>
          <w:numId w:val="0"/>
        </w:num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2.</w:t>
      </w:r>
      <w:r>
        <w:rPr>
          <w:rFonts w:hint="eastAsia" w:ascii="Times New Roman" w:hAnsi="Times New Roman" w:cs="Times New Roman"/>
          <w:color w:val="000000" w:themeColor="text1"/>
          <w:kern w:val="2"/>
          <w:sz w:val="30"/>
          <w:szCs w:val="30"/>
          <w:lang w:val="en-US" w:bidi="ar-SA"/>
          <w14:textFill>
            <w14:solidFill>
              <w14:schemeClr w14:val="tx1"/>
            </w14:solidFill>
          </w14:textFill>
        </w:rPr>
        <w:t>上述A、B采购单中选结果按各类别竞价形成。在A采购单中符合报名资格的企业仅参加A采购单竞价，除A采购单外，其他符合报名资格的企业参加B采购单竞价。</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首年预采购量按联盟地区</w:t>
      </w:r>
      <w:r>
        <w:rPr>
          <w:rFonts w:hint="eastAsia" w:ascii="Times New Roman" w:hAnsi="Times New Roman" w:cs="Times New Roman"/>
          <w:color w:val="000000" w:themeColor="text1"/>
          <w:kern w:val="2"/>
          <w:sz w:val="30"/>
          <w:szCs w:val="30"/>
          <w:lang w:val="en-US" w:bidi="ar-SA"/>
          <w14:textFill>
            <w14:solidFill>
              <w14:schemeClr w14:val="tx1"/>
            </w14:solidFill>
          </w14:textFill>
        </w:rPr>
        <w:t>公立</w:t>
      </w:r>
      <w:r>
        <w:rPr>
          <w:rFonts w:ascii="Times New Roman" w:hAnsi="Times New Roman" w:cs="Times New Roman"/>
          <w:color w:val="000000" w:themeColor="text1"/>
          <w:kern w:val="2"/>
          <w:sz w:val="30"/>
          <w:szCs w:val="30"/>
          <w:lang w:val="en-US" w:bidi="ar-SA"/>
          <w14:textFill>
            <w14:solidFill>
              <w14:schemeClr w14:val="tx1"/>
            </w14:solidFill>
          </w14:textFill>
        </w:rPr>
        <w:t>医疗机构报送的采购总需求确定，首年预采购量情况见下表</w:t>
      </w:r>
      <w:r>
        <w:rPr>
          <w:rFonts w:hint="eastAsia" w:ascii="Times New Roman" w:hAnsi="Times New Roman" w:cs="Times New Roman"/>
          <w:color w:val="000000" w:themeColor="text1"/>
          <w:kern w:val="2"/>
          <w:sz w:val="30"/>
          <w:szCs w:val="30"/>
          <w:lang w:val="en-US" w:bidi="ar-SA"/>
          <w14:textFill>
            <w14:solidFill>
              <w14:schemeClr w14:val="tx1"/>
            </w14:solidFill>
          </w14:textFill>
        </w:rPr>
        <w:t>（正式文件公布）</w:t>
      </w:r>
      <w:r>
        <w:rPr>
          <w:rFonts w:ascii="Times New Roman" w:hAnsi="Times New Roman" w:cs="Times New Roman"/>
          <w:color w:val="000000" w:themeColor="text1"/>
          <w:kern w:val="2"/>
          <w:sz w:val="30"/>
          <w:szCs w:val="30"/>
          <w:lang w:val="en-US" w:bidi="ar-SA"/>
          <w14:textFill>
            <w14:solidFill>
              <w14:schemeClr w14:val="tx1"/>
            </w14:solidFill>
          </w14:textFill>
        </w:rPr>
        <w:t xml:space="preserve">：  </w:t>
      </w:r>
    </w:p>
    <w:p>
      <w:pPr>
        <w:autoSpaceDE/>
        <w:autoSpaceDN/>
        <w:spacing w:line="560" w:lineRule="exact"/>
        <w:ind w:firstLine="600" w:firstLineChars="200"/>
        <w:jc w:val="both"/>
        <w:rPr>
          <w:rFonts w:ascii="Times New Roman" w:hAnsi="Times New Roman" w:eastAsia="黑体" w:cs="Times New Roman"/>
          <w:color w:val="000000" w:themeColor="text1"/>
          <w:kern w:val="2"/>
          <w:sz w:val="30"/>
          <w:szCs w:val="30"/>
          <w:lang w:val="en-US" w:bidi="ar-SA"/>
          <w14:textFill>
            <w14:solidFill>
              <w14:schemeClr w14:val="tx1"/>
            </w14:solidFill>
          </w14:textFill>
        </w:rPr>
      </w:pPr>
      <w:r>
        <w:rPr>
          <w:rFonts w:ascii="Times New Roman" w:hAnsi="Times New Roman" w:eastAsia="黑体" w:cs="Times New Roman"/>
          <w:color w:val="000000" w:themeColor="text1"/>
          <w:kern w:val="2"/>
          <w:sz w:val="30"/>
          <w:szCs w:val="30"/>
          <w:lang w:val="en-US" w:bidi="ar-SA"/>
          <w14:textFill>
            <w14:solidFill>
              <w14:schemeClr w14:val="tx1"/>
            </w14:solidFill>
          </w14:textFill>
        </w:rPr>
        <w:t>六、采购执行说明</w:t>
      </w:r>
    </w:p>
    <w:p>
      <w:pPr>
        <w:pStyle w:val="2"/>
        <w:spacing w:line="600" w:lineRule="exact"/>
        <w:ind w:firstLine="600" w:firstLineChars="200"/>
        <w:rPr>
          <w:rFonts w:hint="default" w:ascii="Times New Roman" w:hAnsi="Times New Roman"/>
          <w:color w:val="000000" w:themeColor="text1"/>
          <w:kern w:val="2"/>
          <w:sz w:val="30"/>
          <w:szCs w:val="30"/>
          <w14:textFill>
            <w14:solidFill>
              <w14:schemeClr w14:val="tx1"/>
            </w14:solidFill>
          </w14:textFill>
        </w:rPr>
      </w:pPr>
      <w:bookmarkStart w:id="5" w:name="_Toc15364"/>
      <w:bookmarkStart w:id="6" w:name="_Toc17748580"/>
      <w:r>
        <w:rPr>
          <w:rFonts w:ascii="Times New Roman" w:hAnsi="Times New Roman" w:eastAsia="仿宋"/>
          <w:color w:val="000000" w:themeColor="text1"/>
          <w:kern w:val="2"/>
          <w:sz w:val="30"/>
          <w:szCs w:val="30"/>
          <w14:textFill>
            <w14:solidFill>
              <w14:schemeClr w14:val="tx1"/>
            </w14:solidFill>
          </w14:textFill>
        </w:rPr>
        <w:t>1.</w:t>
      </w:r>
      <w:r>
        <w:rPr>
          <w:rFonts w:hint="default" w:ascii="Times New Roman" w:hAnsi="Times New Roman" w:eastAsia="仿宋"/>
          <w:color w:val="000000" w:themeColor="text1"/>
          <w:kern w:val="2"/>
          <w:sz w:val="30"/>
          <w:szCs w:val="30"/>
          <w14:textFill>
            <w14:solidFill>
              <w14:schemeClr w14:val="tx1"/>
            </w14:solidFill>
          </w14:textFill>
        </w:rPr>
        <w:t>采购周期内，</w:t>
      </w:r>
      <w:r>
        <w:rPr>
          <w:rFonts w:ascii="Times New Roman" w:hAnsi="Times New Roman" w:eastAsia="仿宋"/>
          <w:color w:val="000000" w:themeColor="text1"/>
          <w:kern w:val="2"/>
          <w:sz w:val="30"/>
          <w:szCs w:val="30"/>
          <w14:textFill>
            <w14:solidFill>
              <w14:schemeClr w14:val="tx1"/>
            </w14:solidFill>
          </w14:textFill>
        </w:rPr>
        <w:t>公立</w:t>
      </w:r>
      <w:r>
        <w:rPr>
          <w:rFonts w:hint="default" w:ascii="Times New Roman" w:hAnsi="Times New Roman" w:eastAsia="仿宋"/>
          <w:color w:val="000000" w:themeColor="text1"/>
          <w:kern w:val="2"/>
          <w:sz w:val="30"/>
          <w:szCs w:val="30"/>
          <w14:textFill>
            <w14:solidFill>
              <w14:schemeClr w14:val="tx1"/>
            </w14:solidFill>
          </w14:textFill>
        </w:rPr>
        <w:t>医疗机构优先使用中选产品。在确保完成协议采购量的基础上，</w:t>
      </w:r>
      <w:r>
        <w:rPr>
          <w:rFonts w:ascii="Times New Roman" w:hAnsi="Times New Roman" w:eastAsia="仿宋"/>
          <w:color w:val="000000" w:themeColor="text1"/>
          <w:kern w:val="2"/>
          <w:sz w:val="30"/>
          <w:szCs w:val="30"/>
          <w14:textFill>
            <w14:solidFill>
              <w14:schemeClr w14:val="tx1"/>
            </w14:solidFill>
          </w14:textFill>
        </w:rPr>
        <w:t>原则上优先采购使用</w:t>
      </w:r>
      <w:r>
        <w:rPr>
          <w:rFonts w:hint="default" w:ascii="Times New Roman" w:hAnsi="Times New Roman" w:eastAsia="仿宋"/>
          <w:color w:val="000000" w:themeColor="text1"/>
          <w:kern w:val="2"/>
          <w:sz w:val="30"/>
          <w:szCs w:val="30"/>
          <w14:textFill>
            <w14:solidFill>
              <w14:schemeClr w14:val="tx1"/>
            </w14:solidFill>
          </w14:textFill>
        </w:rPr>
        <w:t>中选产品。</w:t>
      </w:r>
      <w:r>
        <w:rPr>
          <w:rFonts w:ascii="Times New Roman" w:hAnsi="Times New Roman" w:eastAsia="仿宋"/>
          <w:color w:val="000000" w:themeColor="text1"/>
          <w:kern w:val="2"/>
          <w:sz w:val="30"/>
          <w:szCs w:val="30"/>
          <w14:textFill>
            <w14:solidFill>
              <w14:schemeClr w14:val="tx1"/>
            </w14:solidFill>
          </w14:textFill>
        </w:rPr>
        <w:t>在采购年度内，医疗机构</w:t>
      </w:r>
      <w:r>
        <w:rPr>
          <w:rFonts w:ascii="Times New Roman" w:hAnsi="Times New Roman" w:eastAsia="仿宋"/>
          <w:color w:val="auto"/>
          <w:kern w:val="2"/>
          <w:sz w:val="30"/>
          <w:szCs w:val="30"/>
        </w:rPr>
        <w:t>增量</w:t>
      </w:r>
      <w:r>
        <w:rPr>
          <w:rFonts w:hint="eastAsia" w:ascii="Times New Roman" w:hAnsi="Times New Roman" w:eastAsia="仿宋"/>
          <w:color w:val="000000" w:themeColor="text1"/>
          <w:kern w:val="2"/>
          <w:sz w:val="30"/>
          <w:szCs w:val="30"/>
          <w:lang w:eastAsia="zh-CN"/>
          <w14:textFill>
            <w14:solidFill>
              <w14:schemeClr w14:val="tx1"/>
            </w14:solidFill>
          </w14:textFill>
        </w:rPr>
        <w:t>部分</w:t>
      </w:r>
      <w:r>
        <w:rPr>
          <w:rFonts w:ascii="Times New Roman" w:hAnsi="Times New Roman" w:eastAsia="仿宋"/>
          <w:color w:val="000000" w:themeColor="text1"/>
          <w:kern w:val="2"/>
          <w:sz w:val="30"/>
          <w:szCs w:val="30"/>
          <w14:textFill>
            <w14:solidFill>
              <w14:schemeClr w14:val="tx1"/>
            </w14:solidFill>
          </w14:textFill>
        </w:rPr>
        <w:t>原则上优先使用中选产品，</w:t>
      </w:r>
      <w:r>
        <w:rPr>
          <w:rFonts w:hint="eastAsia" w:ascii="Times New Roman" w:hAnsi="Times New Roman" w:eastAsia="仿宋"/>
          <w:color w:val="000000" w:themeColor="text1"/>
          <w:kern w:val="2"/>
          <w:sz w:val="30"/>
          <w:szCs w:val="30"/>
          <w:lang w:eastAsia="zh-CN"/>
          <w14:textFill>
            <w14:solidFill>
              <w14:schemeClr w14:val="tx1"/>
            </w14:solidFill>
          </w14:textFill>
        </w:rPr>
        <w:t>且</w:t>
      </w:r>
      <w:r>
        <w:rPr>
          <w:rFonts w:ascii="Times New Roman" w:hAnsi="Times New Roman" w:eastAsia="仿宋"/>
          <w:color w:val="000000" w:themeColor="text1"/>
          <w:kern w:val="2"/>
          <w:sz w:val="30"/>
          <w:szCs w:val="30"/>
          <w14:textFill>
            <w14:solidFill>
              <w14:schemeClr w14:val="tx1"/>
            </w14:solidFill>
          </w14:textFill>
        </w:rPr>
        <w:t>使用比例不低于增量的80%。</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未报量的</w:t>
      </w:r>
      <w:r>
        <w:rPr>
          <w:rFonts w:hint="eastAsia" w:ascii="Times New Roman" w:hAnsi="Times New Roman" w:cs="Times New Roman"/>
          <w:color w:val="000000" w:themeColor="text1"/>
          <w:kern w:val="2"/>
          <w:sz w:val="30"/>
          <w:szCs w:val="30"/>
          <w:lang w:val="en-US" w:bidi="ar-SA"/>
          <w14:textFill>
            <w14:solidFill>
              <w14:schemeClr w14:val="tx1"/>
            </w14:solidFill>
          </w14:textFill>
        </w:rPr>
        <w:t>公立</w:t>
      </w:r>
      <w:r>
        <w:rPr>
          <w:rFonts w:ascii="Times New Roman" w:hAnsi="Times New Roman" w:cs="Times New Roman"/>
          <w:color w:val="000000" w:themeColor="text1"/>
          <w:kern w:val="2"/>
          <w:sz w:val="30"/>
          <w:szCs w:val="30"/>
          <w:lang w:val="en-US" w:bidi="ar-SA"/>
          <w14:textFill>
            <w14:solidFill>
              <w14:schemeClr w14:val="tx1"/>
            </w14:solidFill>
          </w14:textFill>
        </w:rPr>
        <w:t>医疗机构原则上优先采购使用中选</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产</w:t>
      </w:r>
      <w:r>
        <w:rPr>
          <w:rFonts w:ascii="Times New Roman" w:hAnsi="Times New Roman" w:cs="Times New Roman"/>
          <w:color w:val="000000" w:themeColor="text1"/>
          <w:kern w:val="2"/>
          <w:sz w:val="30"/>
          <w:szCs w:val="30"/>
          <w:lang w:val="en-US" w:bidi="ar-SA"/>
          <w14:textFill>
            <w14:solidFill>
              <w14:schemeClr w14:val="tx1"/>
            </w14:solidFill>
          </w14:textFill>
        </w:rPr>
        <w:t>品。</w:t>
      </w:r>
    </w:p>
    <w:p>
      <w:pPr>
        <w:pStyle w:val="2"/>
        <w:spacing w:line="600" w:lineRule="exact"/>
        <w:ind w:firstLine="600" w:firstLineChars="200"/>
        <w:rPr>
          <w:rFonts w:hint="default" w:ascii="Times New Roman" w:hAnsi="Times New Roman" w:eastAsia="仿宋"/>
          <w:color w:val="000000" w:themeColor="text1"/>
          <w:kern w:val="2"/>
          <w:sz w:val="30"/>
          <w:szCs w:val="30"/>
          <w14:textFill>
            <w14:solidFill>
              <w14:schemeClr w14:val="tx1"/>
            </w14:solidFill>
          </w14:textFill>
        </w:rPr>
      </w:pPr>
      <w:r>
        <w:rPr>
          <w:rFonts w:ascii="Times New Roman" w:hAnsi="Times New Roman" w:eastAsia="仿宋"/>
          <w:color w:val="000000" w:themeColor="text1"/>
          <w:kern w:val="2"/>
          <w:sz w:val="30"/>
          <w:szCs w:val="30"/>
          <w14:textFill>
            <w14:solidFill>
              <w14:schemeClr w14:val="tx1"/>
            </w14:solidFill>
          </w14:textFill>
        </w:rPr>
        <w:t>2.</w:t>
      </w:r>
      <w:r>
        <w:rPr>
          <w:rFonts w:hint="default" w:ascii="Times New Roman" w:hAnsi="Times New Roman" w:eastAsia="仿宋"/>
          <w:color w:val="000000" w:themeColor="text1"/>
          <w:kern w:val="2"/>
          <w:sz w:val="30"/>
          <w:szCs w:val="30"/>
          <w14:textFill>
            <w14:solidFill>
              <w14:schemeClr w14:val="tx1"/>
            </w14:solidFill>
          </w14:textFill>
        </w:rPr>
        <w:t>医保定点社会办医疗机构</w:t>
      </w:r>
      <w:r>
        <w:rPr>
          <w:rFonts w:hint="eastAsia" w:ascii="Times New Roman" w:hAnsi="Times New Roman" w:eastAsia="仿宋"/>
          <w:color w:val="000000" w:themeColor="text1"/>
          <w:kern w:val="2"/>
          <w:sz w:val="30"/>
          <w:szCs w:val="30"/>
          <w:lang w:eastAsia="zh-CN"/>
          <w14:textFill>
            <w14:solidFill>
              <w14:schemeClr w14:val="tx1"/>
            </w14:solidFill>
          </w14:textFill>
        </w:rPr>
        <w:t>和</w:t>
      </w:r>
      <w:r>
        <w:rPr>
          <w:rFonts w:hint="default" w:ascii="Times New Roman" w:hAnsi="Times New Roman" w:eastAsia="仿宋"/>
          <w:color w:val="000000" w:themeColor="text1"/>
          <w:kern w:val="2"/>
          <w:sz w:val="30"/>
          <w:szCs w:val="30"/>
          <w14:textFill>
            <w14:solidFill>
              <w14:schemeClr w14:val="tx1"/>
            </w14:solidFill>
          </w14:textFill>
        </w:rPr>
        <w:t>定点药店</w:t>
      </w:r>
      <w:r>
        <w:rPr>
          <w:rFonts w:ascii="Times New Roman" w:hAnsi="Times New Roman" w:eastAsia="仿宋"/>
          <w:color w:val="000000" w:themeColor="text1"/>
          <w:kern w:val="2"/>
          <w:sz w:val="30"/>
          <w:szCs w:val="30"/>
          <w14:textFill>
            <w14:solidFill>
              <w14:schemeClr w14:val="tx1"/>
            </w14:solidFill>
          </w14:textFill>
        </w:rPr>
        <w:t>的</w:t>
      </w:r>
      <w:r>
        <w:rPr>
          <w:rFonts w:hint="default" w:ascii="Times New Roman" w:hAnsi="Times New Roman" w:eastAsia="仿宋"/>
          <w:color w:val="000000" w:themeColor="text1"/>
          <w:kern w:val="2"/>
          <w:sz w:val="30"/>
          <w:szCs w:val="30"/>
          <w14:textFill>
            <w14:solidFill>
              <w14:schemeClr w14:val="tx1"/>
            </w14:solidFill>
          </w14:textFill>
        </w:rPr>
        <w:t>采购量</w:t>
      </w:r>
      <w:r>
        <w:rPr>
          <w:rFonts w:ascii="Times New Roman" w:hAnsi="Times New Roman" w:eastAsia="仿宋"/>
          <w:color w:val="000000" w:themeColor="text1"/>
          <w:kern w:val="2"/>
          <w:sz w:val="30"/>
          <w:szCs w:val="30"/>
          <w14:textFill>
            <w14:solidFill>
              <w14:schemeClr w14:val="tx1"/>
            </w14:solidFill>
          </w14:textFill>
        </w:rPr>
        <w:t>由供需双方按采购协议的约定执行。</w:t>
      </w:r>
    </w:p>
    <w:p>
      <w:pPr>
        <w:autoSpaceDE/>
        <w:autoSpaceDN/>
        <w:spacing w:line="560" w:lineRule="exact"/>
        <w:ind w:firstLine="600" w:firstLineChars="200"/>
        <w:jc w:val="both"/>
        <w:rPr>
          <w:rFonts w:ascii="Times New Roman" w:hAnsi="Times New Roman" w:eastAsia="黑体" w:cs="Times New Roman"/>
          <w:color w:val="000000" w:themeColor="text1"/>
          <w:kern w:val="2"/>
          <w:sz w:val="30"/>
          <w:szCs w:val="30"/>
          <w:lang w:val="en-US" w:bidi="ar-SA"/>
          <w14:textFill>
            <w14:solidFill>
              <w14:schemeClr w14:val="tx1"/>
            </w14:solidFill>
          </w14:textFill>
        </w:rPr>
      </w:pPr>
      <w:r>
        <w:rPr>
          <w:rFonts w:ascii="Times New Roman" w:hAnsi="Times New Roman" w:eastAsia="黑体" w:cs="Times New Roman"/>
          <w:color w:val="000000" w:themeColor="text1"/>
          <w:kern w:val="2"/>
          <w:sz w:val="30"/>
          <w:szCs w:val="30"/>
          <w:lang w:val="en-US" w:bidi="ar-SA"/>
          <w14:textFill>
            <w14:solidFill>
              <w14:schemeClr w14:val="tx1"/>
            </w14:solidFill>
          </w14:textFill>
        </w:rPr>
        <w:t>七、采购文件获取方式</w:t>
      </w:r>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bookmarkStart w:id="7" w:name="_Toc30614"/>
      <w:bookmarkStart w:id="8" w:name="_Toc17748581"/>
      <w:r>
        <w:rPr>
          <w:rFonts w:ascii="Times New Roman" w:hAnsi="Times New Roman" w:cs="Times New Roman"/>
          <w:color w:val="000000" w:themeColor="text1"/>
          <w:kern w:val="2"/>
          <w:sz w:val="30"/>
          <w:szCs w:val="30"/>
          <w:lang w:val="en-US" w:bidi="ar-SA"/>
          <w14:textFill>
            <w14:solidFill>
              <w14:schemeClr w14:val="tx1"/>
            </w14:solidFill>
          </w14:textFill>
        </w:rPr>
        <w:t>可通过广东省第三方药品电子交易平台（www. gdmede.com.cn）（以下简称省平台）下载相关文件。</w:t>
      </w:r>
      <w:bookmarkEnd w:id="5"/>
      <w:bookmarkEnd w:id="6"/>
      <w:bookmarkEnd w:id="7"/>
      <w:bookmarkEnd w:id="8"/>
      <w:bookmarkStart w:id="9" w:name="_Toc30815"/>
      <w:bookmarkStart w:id="10" w:name="_Toc57277289"/>
    </w:p>
    <w:p>
      <w:pPr>
        <w:autoSpaceDE/>
        <w:autoSpaceDN/>
        <w:spacing w:line="560" w:lineRule="exact"/>
        <w:ind w:firstLine="600" w:firstLineChars="200"/>
        <w:jc w:val="both"/>
        <w:rPr>
          <w:rFonts w:ascii="Times New Roman" w:hAnsi="Times New Roman" w:eastAsia="黑体" w:cs="Times New Roman"/>
          <w:color w:val="000000" w:themeColor="text1"/>
          <w:kern w:val="2"/>
          <w:sz w:val="30"/>
          <w:szCs w:val="30"/>
          <w:lang w:val="en-US" w:bidi="ar-SA"/>
          <w14:textFill>
            <w14:solidFill>
              <w14:schemeClr w14:val="tx1"/>
            </w14:solidFill>
          </w14:textFill>
        </w:rPr>
      </w:pPr>
      <w:r>
        <w:rPr>
          <w:rFonts w:ascii="Times New Roman" w:hAnsi="Times New Roman" w:eastAsia="黑体" w:cs="Times New Roman"/>
          <w:color w:val="000000" w:themeColor="text1"/>
          <w:kern w:val="2"/>
          <w:sz w:val="30"/>
          <w:szCs w:val="30"/>
          <w:lang w:val="en-US" w:bidi="ar-SA"/>
          <w14:textFill>
            <w14:solidFill>
              <w14:schemeClr w14:val="tx1"/>
            </w14:solidFill>
          </w14:textFill>
        </w:rPr>
        <w:t>八、报名方式和截止时间</w:t>
      </w:r>
      <w:bookmarkEnd w:id="9"/>
      <w:bookmarkEnd w:id="10"/>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本次药品</w:t>
      </w:r>
      <w:r>
        <w:rPr>
          <w:rFonts w:ascii="Times New Roman" w:hAnsi="Times New Roman" w:cs="Times New Roman"/>
          <w:color w:val="000000" w:themeColor="text1"/>
          <w:kern w:val="2"/>
          <w:sz w:val="30"/>
          <w:szCs w:val="30"/>
          <w:lang w:val="en-US" w:bidi="ar-SA"/>
          <w14:textFill>
            <w14:solidFill>
              <w14:schemeClr w14:val="tx1"/>
            </w14:solidFill>
          </w14:textFill>
        </w:rPr>
        <w:t>联盟地区集团带量采购，申报企业按报名通知（另行发布）要求，在规定时间内登录省平台（www. gdmede.com.cn）药品交易系统提交报名。</w:t>
      </w:r>
      <w:bookmarkStart w:id="11" w:name="_Toc27314"/>
      <w:bookmarkStart w:id="12" w:name="_Toc57277290"/>
      <w:bookmarkStart w:id="13" w:name="_Toc17748584"/>
      <w:bookmarkStart w:id="14" w:name="_Toc28009"/>
    </w:p>
    <w:p>
      <w:pPr>
        <w:autoSpaceDE/>
        <w:autoSpaceDN/>
        <w:spacing w:line="56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申报企业应根据2021年7月*日省平台发布的《</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w:t>
      </w:r>
      <w:r>
        <w:rPr>
          <w:rFonts w:hint="eastAsia" w:ascii="Times New Roman" w:hAnsi="Times New Roman" w:cs="Times New Roman"/>
          <w:color w:val="000000" w:themeColor="text1"/>
          <w:kern w:val="2"/>
          <w:sz w:val="30"/>
          <w:szCs w:val="30"/>
          <w:lang w:val="en-US" w:bidi="ar-SA"/>
          <w14:textFill>
            <w14:solidFill>
              <w14:schemeClr w14:val="tx1"/>
            </w14:solidFill>
          </w14:textFill>
        </w:rPr>
        <w:t>》公告要求完成产品全国最低价格信息确认工作，并作为报名时的证明资料。</w:t>
      </w:r>
    </w:p>
    <w:p>
      <w:pPr>
        <w:spacing w:line="600" w:lineRule="exact"/>
        <w:ind w:firstLine="600"/>
        <w:rPr>
          <w:rFonts w:ascii="Times New Roman" w:hAnsi="Times New Roman" w:eastAsia="黑体" w:cs="Times New Roman"/>
          <w:color w:val="000000" w:themeColor="text1"/>
          <w:kern w:val="2"/>
          <w:sz w:val="30"/>
          <w:szCs w:val="30"/>
          <w:lang w:val="en-US" w:bidi="ar-SA"/>
          <w14:textFill>
            <w14:solidFill>
              <w14:schemeClr w14:val="tx1"/>
            </w14:solidFill>
          </w14:textFill>
        </w:rPr>
      </w:pPr>
      <w:r>
        <w:rPr>
          <w:rFonts w:ascii="Times New Roman" w:hAnsi="Times New Roman" w:eastAsia="黑体" w:cs="Times New Roman"/>
          <w:color w:val="000000" w:themeColor="text1"/>
          <w:kern w:val="2"/>
          <w:sz w:val="30"/>
          <w:szCs w:val="30"/>
          <w:lang w:val="en-US" w:bidi="ar-SA"/>
          <w14:textFill>
            <w14:solidFill>
              <w14:schemeClr w14:val="tx1"/>
            </w14:solidFill>
          </w14:textFill>
        </w:rPr>
        <w:t>九、报价安排和时间</w:t>
      </w:r>
      <w:bookmarkEnd w:id="11"/>
      <w:bookmarkEnd w:id="12"/>
    </w:p>
    <w:p>
      <w:pPr>
        <w:spacing w:line="600" w:lineRule="exact"/>
        <w:ind w:firstLine="600"/>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本次药品</w:t>
      </w:r>
      <w:r>
        <w:rPr>
          <w:rFonts w:ascii="Times New Roman" w:hAnsi="Times New Roman" w:cs="Times New Roman"/>
          <w:color w:val="000000" w:themeColor="text1"/>
          <w:kern w:val="2"/>
          <w:sz w:val="30"/>
          <w:szCs w:val="30"/>
          <w:lang w:val="en-US" w:bidi="ar-SA"/>
          <w14:textFill>
            <w14:solidFill>
              <w14:schemeClr w14:val="tx1"/>
            </w14:solidFill>
          </w14:textFill>
        </w:rPr>
        <w:t>联盟地区集团带量采购采取线上报价方式，申报企业按报价通知（另行发布）要求，在规定时间内登录省平台（www. gdmede.com.cn）药品交易系统进行报价。</w:t>
      </w:r>
      <w:bookmarkStart w:id="15" w:name="_Toc57277292"/>
      <w:bookmarkStart w:id="16" w:name="_Toc25770"/>
    </w:p>
    <w:p>
      <w:pPr>
        <w:spacing w:line="600" w:lineRule="exact"/>
        <w:ind w:firstLine="600"/>
        <w:rPr>
          <w:rFonts w:ascii="Times New Roman" w:hAnsi="Times New Roman" w:eastAsia="黑体" w:cs="Times New Roman"/>
          <w:color w:val="000000" w:themeColor="text1"/>
          <w:kern w:val="2"/>
          <w:sz w:val="30"/>
          <w:szCs w:val="30"/>
          <w:lang w:val="en-US" w:bidi="ar-SA"/>
          <w14:textFill>
            <w14:solidFill>
              <w14:schemeClr w14:val="tx1"/>
            </w14:solidFill>
          </w14:textFill>
        </w:rPr>
      </w:pPr>
      <w:r>
        <w:rPr>
          <w:rFonts w:ascii="Times New Roman" w:hAnsi="Times New Roman" w:eastAsia="黑体" w:cs="Times New Roman"/>
          <w:color w:val="000000" w:themeColor="text1"/>
          <w:kern w:val="2"/>
          <w:sz w:val="30"/>
          <w:szCs w:val="30"/>
          <w:lang w:val="en-US" w:bidi="ar-SA"/>
          <w14:textFill>
            <w14:solidFill>
              <w14:schemeClr w14:val="tx1"/>
            </w14:solidFill>
          </w14:textFill>
        </w:rPr>
        <w:t>十、信息公开方式</w:t>
      </w:r>
      <w:bookmarkEnd w:id="15"/>
      <w:bookmarkEnd w:id="16"/>
    </w:p>
    <w:p>
      <w:pPr>
        <w:spacing w:line="600" w:lineRule="exact"/>
        <w:ind w:firstLine="600"/>
        <w:rPr>
          <w:rFonts w:ascii="Times New Roman" w:hAnsi="Times New Roman" w:cs="Times New Roman"/>
          <w:color w:val="000000" w:themeColor="text1"/>
          <w:kern w:val="2"/>
          <w:sz w:val="30"/>
          <w:szCs w:val="30"/>
          <w:lang w:val="en-US"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通过省平台（www. gdmede.com.cn）发布采购相关通知，敬请留意。</w:t>
      </w:r>
      <w:bookmarkStart w:id="17" w:name="_Toc24445"/>
      <w:bookmarkEnd w:id="17"/>
      <w:bookmarkStart w:id="18" w:name="_Toc17748583"/>
      <w:bookmarkEnd w:id="18"/>
      <w:bookmarkStart w:id="19" w:name="_Toc57277293"/>
      <w:bookmarkStart w:id="20" w:name="_Toc12085"/>
    </w:p>
    <w:p>
      <w:pPr>
        <w:spacing w:line="600" w:lineRule="exact"/>
        <w:ind w:firstLine="600"/>
        <w:rPr>
          <w:rFonts w:ascii="Times New Roman" w:hAnsi="Times New Roman" w:eastAsia="黑体" w:cs="Times New Roman"/>
          <w:kern w:val="2"/>
          <w:sz w:val="30"/>
          <w:szCs w:val="30"/>
          <w:lang w:val="en-US" w:bidi="ar-SA"/>
        </w:rPr>
      </w:pPr>
      <w:r>
        <w:rPr>
          <w:rFonts w:ascii="Times New Roman" w:hAnsi="Times New Roman" w:eastAsia="黑体" w:cs="Times New Roman"/>
          <w:kern w:val="2"/>
          <w:sz w:val="30"/>
          <w:szCs w:val="30"/>
          <w:lang w:val="en-US" w:bidi="ar-SA"/>
        </w:rPr>
        <w:t>十一、联系方式</w:t>
      </w:r>
      <w:bookmarkEnd w:id="13"/>
      <w:bookmarkEnd w:id="14"/>
      <w:bookmarkEnd w:id="19"/>
      <w:bookmarkEnd w:id="20"/>
    </w:p>
    <w:p>
      <w:pPr>
        <w:spacing w:line="600" w:lineRule="exact"/>
        <w:ind w:firstLine="600"/>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名称：广东省药品交易中心</w:t>
      </w:r>
    </w:p>
    <w:p>
      <w:pPr>
        <w:spacing w:line="600" w:lineRule="exact"/>
        <w:ind w:firstLine="600"/>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地址：广州市越秀区环市东路华侨新村光明路28号3A楼</w:t>
      </w:r>
    </w:p>
    <w:p>
      <w:pPr>
        <w:spacing w:line="600" w:lineRule="exact"/>
        <w:ind w:firstLine="600"/>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 xml:space="preserve">邮编：510095 </w:t>
      </w:r>
    </w:p>
    <w:p>
      <w:pPr>
        <w:spacing w:line="600" w:lineRule="exact"/>
        <w:ind w:firstLine="600"/>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电话：020-38036183、020-38036197</w:t>
      </w:r>
    </w:p>
    <w:p>
      <w:pPr>
        <w:spacing w:line="600" w:lineRule="exact"/>
        <w:ind w:firstLine="600"/>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传真：020-38830256</w:t>
      </w:r>
      <w:bookmarkStart w:id="21" w:name="_Toc15032"/>
      <w:bookmarkEnd w:id="21"/>
      <w:bookmarkStart w:id="22" w:name="_Toc17748585"/>
      <w:bookmarkEnd w:id="22"/>
    </w:p>
    <w:p>
      <w:pPr>
        <w:spacing w:line="600" w:lineRule="exact"/>
        <w:ind w:firstLine="600"/>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QQ群：1群319678985，2群514874300</w:t>
      </w:r>
    </w:p>
    <w:p>
      <w:pPr>
        <w:spacing w:line="600" w:lineRule="exact"/>
        <w:ind w:firstLine="600"/>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在线咨询：广东省药品交易中心官网在线客服。</w:t>
      </w:r>
      <w:bookmarkStart w:id="23" w:name="_Toc57277294"/>
      <w:bookmarkStart w:id="24" w:name="_Toc29485"/>
    </w:p>
    <w:p>
      <w:pPr>
        <w:spacing w:line="600" w:lineRule="exact"/>
        <w:ind w:firstLine="600"/>
        <w:rPr>
          <w:rFonts w:ascii="Times New Roman" w:hAnsi="Times New Roman" w:eastAsia="黑体" w:cs="Times New Roman"/>
          <w:kern w:val="2"/>
          <w:sz w:val="30"/>
          <w:szCs w:val="30"/>
          <w:lang w:val="en-US" w:bidi="ar-SA"/>
        </w:rPr>
      </w:pPr>
      <w:r>
        <w:rPr>
          <w:rFonts w:ascii="Times New Roman" w:hAnsi="Times New Roman" w:eastAsia="黑体" w:cs="Times New Roman"/>
          <w:kern w:val="2"/>
          <w:sz w:val="30"/>
          <w:szCs w:val="30"/>
          <w:lang w:val="en-US" w:bidi="ar-SA"/>
        </w:rPr>
        <w:t>十二、其他</w:t>
      </w:r>
      <w:bookmarkEnd w:id="23"/>
      <w:bookmarkEnd w:id="24"/>
    </w:p>
    <w:p>
      <w:pPr>
        <w:spacing w:line="600" w:lineRule="exact"/>
        <w:ind w:firstLine="600"/>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本次药品</w:t>
      </w:r>
      <w:r>
        <w:rPr>
          <w:rFonts w:ascii="Times New Roman" w:hAnsi="Times New Roman" w:cs="Times New Roman"/>
          <w:kern w:val="2"/>
          <w:sz w:val="30"/>
          <w:szCs w:val="30"/>
          <w:lang w:val="en-US" w:bidi="ar-SA"/>
        </w:rPr>
        <w:t>联盟地区集团带量采购结果执行时间等事项由联盟地区各省自行公布。</w:t>
      </w:r>
    </w:p>
    <w:p>
      <w:pPr>
        <w:autoSpaceDE/>
        <w:autoSpaceDN/>
        <w:spacing w:line="600" w:lineRule="exact"/>
        <w:ind w:firstLine="600" w:firstLineChars="200"/>
        <w:jc w:val="both"/>
        <w:rPr>
          <w:rFonts w:ascii="Times New Roman" w:hAnsi="Times New Roman" w:cs="Times New Roman"/>
          <w:kern w:val="2"/>
          <w:sz w:val="30"/>
          <w:szCs w:val="30"/>
          <w:lang w:val="en-US" w:bidi="ar-SA"/>
        </w:rPr>
        <w:sectPr>
          <w:headerReference r:id="rId3" w:type="default"/>
          <w:footerReference r:id="rId4" w:type="default"/>
          <w:pgSz w:w="11910" w:h="16840"/>
          <w:pgMar w:top="1580" w:right="1040" w:bottom="1220" w:left="1300" w:header="1145" w:footer="1035" w:gutter="0"/>
          <w:pgNumType w:fmt="numberInDash" w:start="1"/>
          <w:cols w:space="720" w:num="1"/>
        </w:sectPr>
      </w:pPr>
    </w:p>
    <w:p>
      <w:pPr>
        <w:keepNext/>
        <w:keepLines/>
        <w:widowControl/>
        <w:autoSpaceDE/>
        <w:autoSpaceDN/>
        <w:spacing w:after="160" w:line="560" w:lineRule="exact"/>
        <w:jc w:val="center"/>
        <w:outlineLvl w:val="0"/>
        <w:rPr>
          <w:rFonts w:ascii="Times New Roman" w:hAnsi="Times New Roman" w:cs="Times New Roman"/>
          <w:b/>
          <w:kern w:val="44"/>
          <w:sz w:val="36"/>
          <w:szCs w:val="36"/>
          <w:lang w:val="en-US" w:bidi="ar-SA"/>
        </w:rPr>
      </w:pPr>
      <w:bookmarkStart w:id="25" w:name="_bookmark11"/>
      <w:bookmarkEnd w:id="25"/>
      <w:r>
        <w:rPr>
          <w:rFonts w:ascii="Times New Roman" w:hAnsi="Times New Roman" w:eastAsia="华文中宋" w:cs="Times New Roman"/>
          <w:bCs/>
          <w:kern w:val="44"/>
          <w:sz w:val="36"/>
          <w:szCs w:val="36"/>
          <w:lang w:val="en-US" w:bidi="ar-SA"/>
        </w:rPr>
        <w:t>第二部分 申报企业须知</w:t>
      </w:r>
    </w:p>
    <w:p>
      <w:pPr>
        <w:spacing w:line="600" w:lineRule="exact"/>
        <w:ind w:firstLine="600"/>
        <w:rPr>
          <w:rFonts w:ascii="Times New Roman" w:hAnsi="Times New Roman" w:eastAsia="黑体" w:cs="Times New Roman"/>
          <w:kern w:val="2"/>
          <w:sz w:val="30"/>
          <w:szCs w:val="30"/>
          <w:lang w:val="en-US" w:bidi="ar-SA"/>
        </w:rPr>
      </w:pPr>
      <w:bookmarkStart w:id="26" w:name="_bookmark12"/>
      <w:bookmarkEnd w:id="26"/>
      <w:bookmarkStart w:id="27" w:name="一、集中采购当事人"/>
      <w:bookmarkEnd w:id="27"/>
      <w:r>
        <w:rPr>
          <w:rFonts w:ascii="Times New Roman" w:hAnsi="Times New Roman" w:eastAsia="黑体" w:cs="Times New Roman"/>
          <w:kern w:val="2"/>
          <w:sz w:val="30"/>
          <w:szCs w:val="30"/>
          <w:lang w:val="en-US" w:bidi="ar-SA"/>
        </w:rPr>
        <w:t>一、集团带量采购当事人</w:t>
      </w:r>
    </w:p>
    <w:p>
      <w:pPr>
        <w:autoSpaceDE/>
        <w:autoSpaceDN/>
        <w:spacing w:line="560" w:lineRule="exact"/>
        <w:ind w:firstLine="602" w:firstLineChars="200"/>
        <w:jc w:val="both"/>
        <w:rPr>
          <w:rFonts w:ascii="Times New Roman" w:hAnsi="Times New Roman" w:cs="Times New Roman"/>
          <w:b/>
          <w:bCs/>
          <w:kern w:val="2"/>
          <w:sz w:val="30"/>
          <w:szCs w:val="30"/>
          <w:lang w:val="en-US" w:bidi="ar-SA"/>
        </w:rPr>
      </w:pPr>
      <w:bookmarkStart w:id="28" w:name="1.申报企业"/>
      <w:bookmarkEnd w:id="28"/>
      <w:r>
        <w:rPr>
          <w:rFonts w:ascii="Times New Roman" w:hAnsi="Times New Roman" w:cs="Times New Roman"/>
          <w:b/>
          <w:bCs/>
          <w:kern w:val="2"/>
          <w:sz w:val="30"/>
          <w:szCs w:val="30"/>
          <w:lang w:val="en-US" w:bidi="ar-SA"/>
        </w:rPr>
        <w:t>（一）申报企业</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1.申报企业参加药品集团带量采购活动应当具备以下条件：</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（1）具有履行协议必须具备的能力；</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（2）参加本次药品集团带量采购活动前两年内，在药品生产活动中无严重违法记录；</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（3）在</w:t>
      </w:r>
      <w:r>
        <w:rPr>
          <w:rFonts w:hint="eastAsia" w:ascii="Times New Roman" w:hAnsi="Times New Roman" w:cs="Times New Roman"/>
          <w:kern w:val="2"/>
          <w:sz w:val="30"/>
          <w:szCs w:val="30"/>
          <w:lang w:val="en-US" w:eastAsia="zh-CN" w:bidi="ar-SA"/>
        </w:rPr>
        <w:t>《</w:t>
      </w:r>
      <w:r>
        <w:rPr>
          <w:rFonts w:hint="eastAsia" w:ascii="Times New Roman" w:hAnsi="Times New Roman" w:cs="Times New Roman"/>
          <w:kern w:val="2"/>
          <w:sz w:val="30"/>
          <w:szCs w:val="30"/>
          <w:lang w:val="en-US" w:bidi="ar-SA"/>
        </w:rPr>
        <w:t>国家医疗保障局关于建立医药价格和招采信用评价制度 的指导意见</w:t>
      </w:r>
      <w:r>
        <w:rPr>
          <w:rFonts w:hint="eastAsia" w:ascii="Times New Roman" w:hAnsi="Times New Roman" w:cs="Times New Roman"/>
          <w:kern w:val="2"/>
          <w:sz w:val="30"/>
          <w:szCs w:val="30"/>
          <w:lang w:val="en-US" w:eastAsia="zh-CN" w:bidi="ar-SA"/>
        </w:rPr>
        <w:t>》</w:t>
      </w:r>
      <w:r>
        <w:rPr>
          <w:rFonts w:hint="eastAsia" w:ascii="Times New Roman" w:hAnsi="Times New Roman" w:cs="Times New Roman"/>
          <w:kern w:val="2"/>
          <w:sz w:val="30"/>
          <w:szCs w:val="30"/>
          <w:lang w:val="en-US" w:bidi="ar-SA"/>
        </w:rPr>
        <w:t>（医保发〔2020〕34 号）、</w:t>
      </w:r>
      <w:r>
        <w:rPr>
          <w:rFonts w:hint="eastAsia" w:ascii="Times New Roman" w:hAnsi="Times New Roman" w:cs="Times New Roman"/>
          <w:kern w:val="2"/>
          <w:sz w:val="30"/>
          <w:szCs w:val="30"/>
          <w:lang w:val="en-US" w:eastAsia="zh-CN" w:bidi="ar-SA"/>
        </w:rPr>
        <w:t>《</w:t>
      </w:r>
      <w:r>
        <w:rPr>
          <w:rFonts w:hint="eastAsia" w:ascii="Times New Roman" w:hAnsi="Times New Roman" w:cs="Times New Roman"/>
          <w:kern w:val="2"/>
          <w:sz w:val="30"/>
          <w:szCs w:val="30"/>
          <w:lang w:val="en-US" w:bidi="ar-SA"/>
        </w:rPr>
        <w:t>国家医保局医药价格和招标采购指导中心关于印发医药价格和招采信用评价的操作规范（2020 版）的通知</w:t>
      </w:r>
      <w:r>
        <w:rPr>
          <w:rFonts w:hint="eastAsia" w:ascii="Times New Roman" w:hAnsi="Times New Roman" w:cs="Times New Roman"/>
          <w:kern w:val="2"/>
          <w:sz w:val="30"/>
          <w:szCs w:val="30"/>
          <w:lang w:val="en-US" w:eastAsia="zh-CN" w:bidi="ar-SA"/>
        </w:rPr>
        <w:t>》</w:t>
      </w:r>
      <w:r>
        <w:rPr>
          <w:rFonts w:hint="eastAsia" w:ascii="Times New Roman" w:hAnsi="Times New Roman" w:cs="Times New Roman"/>
          <w:kern w:val="2"/>
          <w:sz w:val="30"/>
          <w:szCs w:val="30"/>
          <w:lang w:val="en-US" w:bidi="ar-SA"/>
        </w:rPr>
        <w:t>（医保价采中心函〔2020〕24 号）和</w:t>
      </w:r>
      <w:r>
        <w:rPr>
          <w:rFonts w:hint="eastAsia" w:ascii="Times New Roman" w:hAnsi="Times New Roman" w:cs="Times New Roman"/>
          <w:kern w:val="2"/>
          <w:sz w:val="30"/>
          <w:szCs w:val="30"/>
          <w:lang w:val="en-US" w:eastAsia="zh-CN" w:bidi="ar-SA"/>
        </w:rPr>
        <w:t>《</w:t>
      </w:r>
      <w:r>
        <w:rPr>
          <w:rFonts w:hint="eastAsia" w:ascii="Times New Roman" w:hAnsi="Times New Roman" w:cs="Times New Roman"/>
          <w:kern w:val="2"/>
          <w:sz w:val="30"/>
          <w:szCs w:val="30"/>
          <w:lang w:val="en-US" w:bidi="ar-SA"/>
        </w:rPr>
        <w:t>国家医保局医药价格和招标采购指导中心关于印发医药价格和招采信用评级的裁量基准（2020 版）的通知</w:t>
      </w:r>
      <w:r>
        <w:rPr>
          <w:rFonts w:hint="eastAsia" w:ascii="Times New Roman" w:hAnsi="Times New Roman" w:cs="Times New Roman"/>
          <w:kern w:val="2"/>
          <w:sz w:val="30"/>
          <w:szCs w:val="30"/>
          <w:lang w:val="en-US" w:eastAsia="zh-CN" w:bidi="ar-SA"/>
        </w:rPr>
        <w:t>》</w:t>
      </w:r>
      <w:r>
        <w:rPr>
          <w:rFonts w:hint="eastAsia" w:ascii="Times New Roman" w:hAnsi="Times New Roman" w:cs="Times New Roman"/>
          <w:kern w:val="2"/>
          <w:sz w:val="30"/>
          <w:szCs w:val="30"/>
          <w:lang w:val="en-US" w:bidi="ar-SA"/>
        </w:rPr>
        <w:t>（医保价采中心函〔2020〕25 号）印发后，申报企业在药品生产经营活动中，无</w:t>
      </w:r>
      <w:r>
        <w:rPr>
          <w:rFonts w:hint="eastAsia" w:ascii="Times New Roman" w:hAnsi="Times New Roman" w:cs="Times New Roman"/>
          <w:kern w:val="2"/>
          <w:sz w:val="30"/>
          <w:szCs w:val="30"/>
          <w:lang w:val="en-US" w:eastAsia="zh-CN" w:bidi="ar-SA"/>
        </w:rPr>
        <w:t>上述</w:t>
      </w:r>
      <w:r>
        <w:rPr>
          <w:rFonts w:hint="eastAsia" w:ascii="Times New Roman" w:hAnsi="Times New Roman" w:cs="Times New Roman"/>
          <w:kern w:val="2"/>
          <w:sz w:val="30"/>
          <w:szCs w:val="30"/>
          <w:lang w:val="en-US" w:bidi="ar-SA"/>
        </w:rPr>
        <w:t>文件所指的严重、特别严重的失信行为；</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w:t>
      </w:r>
      <w:r>
        <w:rPr>
          <w:rFonts w:hint="eastAsia" w:ascii="Times New Roman" w:hAnsi="Times New Roman" w:cs="Times New Roman"/>
          <w:kern w:val="2"/>
          <w:sz w:val="30"/>
          <w:szCs w:val="30"/>
          <w:lang w:val="en-US" w:bidi="ar-SA"/>
        </w:rPr>
        <w:t>4</w:t>
      </w:r>
      <w:r>
        <w:rPr>
          <w:rFonts w:ascii="Times New Roman" w:hAnsi="Times New Roman" w:cs="Times New Roman"/>
          <w:kern w:val="2"/>
          <w:sz w:val="30"/>
          <w:szCs w:val="30"/>
          <w:lang w:val="en-US" w:bidi="ar-SA"/>
        </w:rPr>
        <w:t>）对药品的质量负责，一旦中选，作为供应保障的第一责任人，及时、足量按要求组织生产，并向配送企业发送药品，满足医疗机构临床用药需求。</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2.申报企业应按照采购文件的要求提交申报材料，申报材料应对采购文件提出的要求和条件做出响应。</w:t>
      </w:r>
    </w:p>
    <w:p>
      <w:pPr>
        <w:autoSpaceDE/>
        <w:autoSpaceDN/>
        <w:spacing w:line="560" w:lineRule="exact"/>
        <w:ind w:firstLine="602" w:firstLineChars="200"/>
        <w:jc w:val="both"/>
        <w:rPr>
          <w:rFonts w:ascii="Times New Roman" w:hAnsi="Times New Roman" w:cs="Times New Roman"/>
          <w:b/>
          <w:bCs/>
          <w:kern w:val="2"/>
          <w:sz w:val="30"/>
          <w:szCs w:val="30"/>
          <w:lang w:val="en-US" w:bidi="ar-SA"/>
        </w:rPr>
      </w:pPr>
      <w:bookmarkStart w:id="29" w:name="2.其他要求"/>
      <w:bookmarkEnd w:id="29"/>
      <w:r>
        <w:rPr>
          <w:rFonts w:ascii="Times New Roman" w:hAnsi="Times New Roman" w:cs="Times New Roman"/>
          <w:b/>
          <w:bCs/>
          <w:kern w:val="2"/>
          <w:sz w:val="30"/>
          <w:szCs w:val="30"/>
          <w:lang w:val="en-US" w:bidi="ar-SA"/>
        </w:rPr>
        <w:t>（二）其他要求</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1.同品种申报企业中，企业负责人为同一人或存在直接控股、管理关系的不同企业，不得同时参与该品种的申报。</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2.</w:t>
      </w:r>
      <w:r>
        <w:rPr>
          <w:rFonts w:hint="eastAsia" w:ascii="Times New Roman" w:hAnsi="Times New Roman" w:cs="Times New Roman"/>
          <w:kern w:val="2"/>
          <w:sz w:val="30"/>
          <w:szCs w:val="30"/>
          <w:lang w:val="en-US" w:bidi="ar-SA"/>
        </w:rPr>
        <w:t>关于是否过评品种的认定时间是以本采购文件发布</w:t>
      </w:r>
      <w:r>
        <w:rPr>
          <w:rFonts w:hint="eastAsia" w:ascii="Times New Roman" w:hAnsi="Times New Roman" w:cs="Times New Roman"/>
          <w:kern w:val="2"/>
          <w:sz w:val="30"/>
          <w:szCs w:val="30"/>
          <w:lang w:val="en-US" w:eastAsia="zh-CN" w:bidi="ar-SA"/>
        </w:rPr>
        <w:t>当日</w:t>
      </w:r>
      <w:r>
        <w:rPr>
          <w:rFonts w:hint="eastAsia" w:ascii="Times New Roman" w:hAnsi="Times New Roman" w:cs="Times New Roman"/>
          <w:kern w:val="2"/>
          <w:sz w:val="30"/>
          <w:szCs w:val="30"/>
          <w:lang w:val="en-US" w:bidi="ar-SA"/>
        </w:rPr>
        <w:t>为准。若本采购文件发布</w:t>
      </w:r>
      <w:r>
        <w:rPr>
          <w:rFonts w:hint="eastAsia" w:ascii="Times New Roman" w:hAnsi="Times New Roman" w:cs="Times New Roman"/>
          <w:kern w:val="2"/>
          <w:sz w:val="30"/>
          <w:szCs w:val="30"/>
          <w:lang w:val="en-US" w:eastAsia="zh-CN" w:bidi="ar-SA"/>
        </w:rPr>
        <w:t>当日</w:t>
      </w:r>
      <w:r>
        <w:rPr>
          <w:rFonts w:hint="eastAsia" w:ascii="Times New Roman" w:hAnsi="Times New Roman" w:cs="Times New Roman"/>
          <w:kern w:val="2"/>
          <w:sz w:val="30"/>
          <w:szCs w:val="30"/>
          <w:lang w:val="en-US" w:bidi="ar-SA"/>
        </w:rPr>
        <w:t>前属于非过评品种但发布</w:t>
      </w:r>
      <w:r>
        <w:rPr>
          <w:rFonts w:hint="eastAsia" w:ascii="Times New Roman" w:hAnsi="Times New Roman" w:cs="Times New Roman"/>
          <w:kern w:val="2"/>
          <w:sz w:val="30"/>
          <w:szCs w:val="30"/>
          <w:lang w:val="en-US" w:eastAsia="zh-CN" w:bidi="ar-SA"/>
        </w:rPr>
        <w:t>当日之</w:t>
      </w:r>
      <w:r>
        <w:rPr>
          <w:rFonts w:hint="eastAsia" w:ascii="Times New Roman" w:hAnsi="Times New Roman" w:cs="Times New Roman"/>
          <w:kern w:val="2"/>
          <w:sz w:val="30"/>
          <w:szCs w:val="30"/>
          <w:lang w:val="en-US" w:bidi="ar-SA"/>
        </w:rPr>
        <w:t>后</w:t>
      </w:r>
      <w:r>
        <w:rPr>
          <w:rFonts w:ascii="Times New Roman" w:hAnsi="Times New Roman" w:cs="Times New Roman"/>
          <w:kern w:val="2"/>
          <w:sz w:val="30"/>
          <w:szCs w:val="30"/>
          <w:lang w:val="en-US" w:bidi="ar-SA"/>
        </w:rPr>
        <w:t>通过一致性评价仿制药</w:t>
      </w:r>
      <w:r>
        <w:rPr>
          <w:rFonts w:hint="eastAsia" w:ascii="Times New Roman" w:hAnsi="Times New Roman" w:cs="Times New Roman"/>
          <w:kern w:val="2"/>
          <w:sz w:val="30"/>
          <w:szCs w:val="30"/>
          <w:lang w:val="en-US" w:bidi="ar-SA"/>
        </w:rPr>
        <w:t>的，按本采购文件所列为准；若本采购文件发布</w:t>
      </w:r>
      <w:r>
        <w:rPr>
          <w:rFonts w:hint="eastAsia" w:ascii="Times New Roman" w:hAnsi="Times New Roman" w:cs="Times New Roman"/>
          <w:kern w:val="2"/>
          <w:sz w:val="30"/>
          <w:szCs w:val="30"/>
          <w:lang w:val="en-US" w:eastAsia="zh-CN" w:bidi="ar-SA"/>
        </w:rPr>
        <w:t>当日之</w:t>
      </w:r>
      <w:r>
        <w:rPr>
          <w:rFonts w:hint="eastAsia" w:ascii="Times New Roman" w:hAnsi="Times New Roman" w:cs="Times New Roman"/>
          <w:kern w:val="2"/>
          <w:sz w:val="30"/>
          <w:szCs w:val="30"/>
          <w:lang w:val="en-US" w:bidi="ar-SA"/>
        </w:rPr>
        <w:t>后首次获得</w:t>
      </w:r>
      <w:r>
        <w:rPr>
          <w:rFonts w:ascii="Times New Roman" w:hAnsi="Times New Roman" w:cs="Times New Roman"/>
          <w:kern w:val="2"/>
          <w:sz w:val="30"/>
          <w:szCs w:val="30"/>
          <w:lang w:val="en-US" w:bidi="ar-SA"/>
        </w:rPr>
        <w:t>通过一致性评价仿制药</w:t>
      </w:r>
      <w:r>
        <w:rPr>
          <w:rFonts w:hint="eastAsia" w:ascii="Times New Roman" w:hAnsi="Times New Roman" w:cs="Times New Roman"/>
          <w:kern w:val="2"/>
          <w:sz w:val="30"/>
          <w:szCs w:val="30"/>
          <w:lang w:val="en-US" w:bidi="ar-SA"/>
        </w:rPr>
        <w:t>注册批件的，以首次注册批件获批的时间为准。</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3.</w:t>
      </w:r>
      <w:r>
        <w:rPr>
          <w:rFonts w:ascii="Times New Roman" w:hAnsi="Times New Roman" w:cs="Times New Roman"/>
          <w:kern w:val="2"/>
          <w:sz w:val="30"/>
          <w:szCs w:val="30"/>
          <w:lang w:val="en-US" w:bidi="ar-SA"/>
        </w:rPr>
        <w:t>申报品种在本次药品集团带量采购活动前两年内不存在省级（含） 以上药品监督管理部门质量检验不合格情况（其中通过一致性评价的仿制药的不合格情况指通过药品监督管理</w:t>
      </w:r>
      <w:r>
        <w:rPr>
          <w:rFonts w:hint="eastAsia" w:ascii="Times New Roman" w:hAnsi="Times New Roman" w:cs="Times New Roman"/>
          <w:kern w:val="2"/>
          <w:sz w:val="30"/>
          <w:szCs w:val="30"/>
          <w:lang w:val="en-US" w:bidi="ar-SA"/>
        </w:rPr>
        <w:t>部门</w:t>
      </w:r>
      <w:r>
        <w:rPr>
          <w:rFonts w:ascii="Times New Roman" w:hAnsi="Times New Roman" w:cs="Times New Roman"/>
          <w:kern w:val="2"/>
          <w:sz w:val="30"/>
          <w:szCs w:val="30"/>
          <w:lang w:val="en-US" w:bidi="ar-SA"/>
        </w:rPr>
        <w:t>仿制药质量和疗效一致性评价上市后的不合格情况）。</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4.</w:t>
      </w:r>
      <w:r>
        <w:rPr>
          <w:rFonts w:ascii="Times New Roman" w:hAnsi="Times New Roman" w:cs="Times New Roman"/>
          <w:kern w:val="2"/>
          <w:sz w:val="30"/>
          <w:szCs w:val="30"/>
          <w:lang w:val="en-US" w:bidi="ar-SA"/>
        </w:rPr>
        <w:t>本次药品集团带量采购供应的药品，应是临床常用包装。</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5</w:t>
      </w:r>
      <w:r>
        <w:rPr>
          <w:rFonts w:ascii="Times New Roman" w:hAnsi="Times New Roman" w:cs="Times New Roman"/>
          <w:kern w:val="2"/>
          <w:sz w:val="30"/>
          <w:szCs w:val="30"/>
          <w:lang w:val="en-US" w:bidi="ar-SA"/>
        </w:rPr>
        <w:t>.申报企业中选后，须按联盟地区主管部门要求签订购销协议。</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6</w:t>
      </w:r>
      <w:r>
        <w:rPr>
          <w:rFonts w:ascii="Times New Roman" w:hAnsi="Times New Roman" w:cs="Times New Roman"/>
          <w:kern w:val="2"/>
          <w:sz w:val="30"/>
          <w:szCs w:val="30"/>
          <w:lang w:val="en-US" w:bidi="ar-SA"/>
        </w:rPr>
        <w:t>.中选药品在履行协议中如遇国家政策调整或不可抗力，致使直接影响协议履行的，由签订购销协议中的各方协商解决。</w:t>
      </w:r>
    </w:p>
    <w:p>
      <w:pPr>
        <w:spacing w:line="600" w:lineRule="exact"/>
        <w:ind w:firstLine="600"/>
        <w:rPr>
          <w:rFonts w:ascii="Times New Roman" w:hAnsi="Times New Roman" w:eastAsia="黑体" w:cs="Times New Roman"/>
          <w:kern w:val="2"/>
          <w:sz w:val="30"/>
          <w:szCs w:val="30"/>
          <w:lang w:val="en-US" w:bidi="ar-SA"/>
        </w:rPr>
      </w:pPr>
      <w:r>
        <w:rPr>
          <w:rFonts w:ascii="Times New Roman" w:hAnsi="Times New Roman" w:eastAsia="黑体" w:cs="Times New Roman"/>
          <w:kern w:val="2"/>
          <w:sz w:val="30"/>
          <w:szCs w:val="30"/>
          <w:lang w:val="en-US" w:bidi="ar-SA"/>
        </w:rPr>
        <w:t>二、申报材料</w:t>
      </w:r>
      <w:bookmarkStart w:id="30" w:name="_bookmark13"/>
      <w:bookmarkEnd w:id="30"/>
      <w:bookmarkStart w:id="31" w:name="3.编制要求"/>
      <w:bookmarkEnd w:id="31"/>
      <w:bookmarkStart w:id="32" w:name="二、申报材料编制"/>
      <w:bookmarkEnd w:id="32"/>
    </w:p>
    <w:p>
      <w:pPr>
        <w:autoSpaceDE/>
        <w:autoSpaceDN/>
        <w:spacing w:line="560" w:lineRule="exact"/>
        <w:ind w:firstLine="602" w:firstLineChars="200"/>
        <w:jc w:val="both"/>
        <w:rPr>
          <w:rFonts w:ascii="Times New Roman" w:hAnsi="Times New Roman" w:cs="Times New Roman"/>
          <w:b/>
          <w:bCs/>
          <w:kern w:val="2"/>
          <w:sz w:val="30"/>
          <w:szCs w:val="30"/>
          <w:lang w:val="en-US" w:bidi="ar-SA"/>
        </w:rPr>
      </w:pPr>
      <w:r>
        <w:rPr>
          <w:rFonts w:ascii="Times New Roman" w:hAnsi="Times New Roman" w:cs="Times New Roman"/>
          <w:b/>
          <w:bCs/>
          <w:kern w:val="2"/>
          <w:sz w:val="30"/>
          <w:szCs w:val="30"/>
          <w:lang w:val="en-US" w:bidi="ar-SA"/>
        </w:rPr>
        <w:t>（一）材料要求</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申报企业应仔细阅读采购文件中的所有内容，按采购文件的要求提供申报材料，并保证所提供的全部材料真实有效。申报材料中涉及到的证书、证明材料等，必须在产品报名当天仍在有效期内。若因申报企业没有按照采购文件的要求提交完整材料，或因申报材料没有对采购文件做出响应、申报材料内容不实等因素影响中选结果的，由申报企业负责。</w:t>
      </w:r>
    </w:p>
    <w:p>
      <w:pPr>
        <w:autoSpaceDE/>
        <w:autoSpaceDN/>
        <w:spacing w:line="560" w:lineRule="exact"/>
        <w:ind w:firstLine="602" w:firstLineChars="200"/>
        <w:jc w:val="both"/>
        <w:rPr>
          <w:rFonts w:ascii="Times New Roman" w:hAnsi="Times New Roman" w:cs="Times New Roman"/>
          <w:b/>
          <w:bCs/>
          <w:kern w:val="2"/>
          <w:sz w:val="30"/>
          <w:szCs w:val="30"/>
          <w:lang w:val="en-US" w:bidi="ar-SA"/>
        </w:rPr>
      </w:pPr>
      <w:bookmarkStart w:id="33" w:name="4.申报语言、计量单位和药品名称、药品规格表示"/>
      <w:bookmarkEnd w:id="33"/>
      <w:r>
        <w:rPr>
          <w:rFonts w:ascii="Times New Roman" w:hAnsi="Times New Roman" w:cs="Times New Roman"/>
          <w:b/>
          <w:bCs/>
          <w:kern w:val="2"/>
          <w:sz w:val="30"/>
          <w:szCs w:val="30"/>
          <w:lang w:val="en-US" w:bidi="ar-SA"/>
        </w:rPr>
        <w:t>（二）申报语言、计量单位和药品名称、药品规格表示</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1.申报企业与省药交中心就申报递交的材料、交换的文件和来往信件，一律以中文书写。</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2.除申报材料中对技术规格另有规定外，应使用中华人民共和国法定计量单位和有关部门规定的药品名称、药品规格表示方法。</w:t>
      </w:r>
    </w:p>
    <w:p>
      <w:pPr>
        <w:autoSpaceDE/>
        <w:autoSpaceDN/>
        <w:spacing w:line="560" w:lineRule="exact"/>
        <w:ind w:firstLine="602" w:firstLineChars="200"/>
        <w:jc w:val="both"/>
        <w:rPr>
          <w:rFonts w:ascii="Times New Roman" w:hAnsi="Times New Roman" w:cs="Times New Roman"/>
          <w:b/>
          <w:bCs/>
          <w:kern w:val="2"/>
          <w:sz w:val="30"/>
          <w:szCs w:val="30"/>
          <w:lang w:val="en-US" w:bidi="ar-SA"/>
        </w:rPr>
      </w:pPr>
      <w:bookmarkStart w:id="34" w:name="5.纸质申报材料的构成和装订顺序"/>
      <w:bookmarkEnd w:id="34"/>
      <w:r>
        <w:rPr>
          <w:rFonts w:ascii="Times New Roman" w:hAnsi="Times New Roman" w:cs="Times New Roman"/>
          <w:b/>
          <w:bCs/>
          <w:kern w:val="2"/>
          <w:sz w:val="30"/>
          <w:szCs w:val="30"/>
          <w:lang w:val="en-US" w:bidi="ar-SA"/>
        </w:rPr>
        <w:t>（三）申报材料的构成</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申报材料须在规定的报名时间内通过省平台药品交易系统网上提交，构成如下（每页均需加盖企业公章）：</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1.医药企业价格和营销行为信用承诺书（附件1）；</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2.企业及产品资质材料（以企业按照省平台报名资质要求在药品交易系统维护提交的有效材料为准）；</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3.药品符合“申报品种资格”的相关证明材料；</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4.</w:t>
      </w:r>
      <w:r>
        <w:rPr>
          <w:rFonts w:ascii="Times New Roman" w:hAnsi="Times New Roman" w:cs="Times New Roman"/>
          <w:spacing w:val="-1"/>
          <w:sz w:val="30"/>
        </w:rPr>
        <w:t>原料药</w:t>
      </w:r>
      <w:r>
        <w:rPr>
          <w:rFonts w:hint="eastAsia" w:ascii="Times New Roman" w:hAnsi="Times New Roman" w:cs="Times New Roman"/>
          <w:spacing w:val="-1"/>
          <w:sz w:val="30"/>
          <w:lang w:val="en-US"/>
        </w:rPr>
        <w:t>来源</w:t>
      </w:r>
      <w:r>
        <w:rPr>
          <w:rFonts w:ascii="Times New Roman" w:hAnsi="Times New Roman" w:cs="Times New Roman"/>
          <w:spacing w:val="-1"/>
          <w:sz w:val="30"/>
        </w:rPr>
        <w:t>说明材料</w:t>
      </w:r>
      <w:r>
        <w:rPr>
          <w:rFonts w:hint="eastAsia" w:ascii="Times New Roman" w:hAnsi="Times New Roman" w:cs="Times New Roman"/>
          <w:sz w:val="30"/>
          <w:lang w:val="en-US"/>
        </w:rPr>
        <w:t>。</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5.根据2021年*月*日省平台发布的《......》要求，已确认产品全国最低价格信息的相关证明材料。</w:t>
      </w:r>
    </w:p>
    <w:p>
      <w:pPr>
        <w:autoSpaceDE/>
        <w:autoSpaceDN/>
        <w:spacing w:line="560" w:lineRule="exact"/>
        <w:ind w:firstLine="602" w:firstLineChars="200"/>
        <w:jc w:val="both"/>
        <w:rPr>
          <w:rFonts w:ascii="Times New Roman" w:hAnsi="Times New Roman" w:cs="Times New Roman"/>
          <w:b/>
          <w:bCs/>
          <w:kern w:val="2"/>
          <w:sz w:val="30"/>
          <w:szCs w:val="30"/>
          <w:lang w:val="en-US" w:bidi="ar-SA"/>
        </w:rPr>
      </w:pPr>
      <w:r>
        <w:rPr>
          <w:rFonts w:ascii="Times New Roman" w:hAnsi="Times New Roman" w:cs="Times New Roman"/>
          <w:b/>
          <w:bCs/>
          <w:kern w:val="2"/>
          <w:sz w:val="30"/>
          <w:szCs w:val="30"/>
          <w:lang w:val="en-US" w:bidi="ar-SA"/>
        </w:rPr>
        <w:t>（四）申报材料</w:t>
      </w:r>
      <w:r>
        <w:rPr>
          <w:rFonts w:hint="eastAsia" w:ascii="Times New Roman" w:hAnsi="Times New Roman" w:cs="Times New Roman"/>
          <w:b/>
          <w:bCs/>
          <w:kern w:val="2"/>
          <w:sz w:val="30"/>
          <w:szCs w:val="30"/>
          <w:lang w:val="en-US" w:bidi="ar-SA"/>
        </w:rPr>
        <w:t>的</w:t>
      </w:r>
      <w:r>
        <w:rPr>
          <w:rFonts w:ascii="Times New Roman" w:hAnsi="Times New Roman" w:cs="Times New Roman"/>
          <w:b/>
          <w:bCs/>
          <w:kern w:val="2"/>
          <w:sz w:val="30"/>
          <w:szCs w:val="30"/>
          <w:lang w:val="en-US" w:bidi="ar-SA"/>
        </w:rPr>
        <w:t>提交</w:t>
      </w:r>
    </w:p>
    <w:p>
      <w:pPr>
        <w:autoSpaceDE/>
        <w:autoSpaceDN/>
        <w:spacing w:line="560" w:lineRule="exact"/>
        <w:ind w:firstLine="600" w:firstLineChars="200"/>
        <w:jc w:val="both"/>
        <w:rPr>
          <w:rFonts w:ascii="Times New Roman" w:hAnsi="Times New Roman" w:eastAsia="仿宋_GB2312" w:cs="Times New Roman"/>
          <w:kern w:val="2"/>
          <w:sz w:val="30"/>
          <w:szCs w:val="30"/>
          <w:lang w:val="en-US" w:bidi="ar-SA"/>
        </w:rPr>
      </w:pPr>
      <w:r>
        <w:rPr>
          <w:rFonts w:ascii="Times New Roman" w:hAnsi="Times New Roman" w:eastAsia="仿宋_GB2312" w:cs="Times New Roman"/>
          <w:kern w:val="2"/>
          <w:sz w:val="30"/>
          <w:szCs w:val="30"/>
          <w:lang w:val="en-US" w:bidi="ar-SA"/>
        </w:rPr>
        <w:t>1.</w:t>
      </w:r>
      <w:r>
        <w:rPr>
          <w:rFonts w:ascii="Times New Roman" w:hAnsi="Times New Roman" w:cs="Times New Roman"/>
          <w:spacing w:val="-1"/>
          <w:sz w:val="30"/>
          <w:lang w:val="en-US" w:bidi="ar-SA"/>
        </w:rPr>
        <w:t>申报企业应在规定时间内通过省平台药品交易系统提交申报材料。</w:t>
      </w:r>
    </w:p>
    <w:p>
      <w:pPr>
        <w:autoSpaceDE/>
        <w:autoSpaceDN/>
        <w:spacing w:line="560" w:lineRule="exact"/>
        <w:ind w:firstLine="600" w:firstLineChars="200"/>
        <w:jc w:val="both"/>
        <w:rPr>
          <w:rFonts w:ascii="Times New Roman" w:hAnsi="Times New Roman" w:cs="Times New Roman"/>
          <w:spacing w:val="-1"/>
          <w:sz w:val="30"/>
          <w:lang w:val="en-US" w:bidi="ar-SA"/>
        </w:rPr>
      </w:pPr>
      <w:r>
        <w:rPr>
          <w:rFonts w:ascii="Times New Roman" w:hAnsi="Times New Roman" w:eastAsia="仿宋_GB2312" w:cs="Times New Roman"/>
          <w:kern w:val="2"/>
          <w:sz w:val="30"/>
          <w:szCs w:val="30"/>
          <w:lang w:val="en-US" w:bidi="ar-SA"/>
        </w:rPr>
        <w:t>2.</w:t>
      </w:r>
      <w:r>
        <w:rPr>
          <w:rFonts w:ascii="Times New Roman" w:hAnsi="Times New Roman" w:cs="Times New Roman"/>
          <w:spacing w:val="-1"/>
          <w:sz w:val="30"/>
          <w:lang w:val="en-US" w:bidi="ar-SA"/>
        </w:rPr>
        <w:t>省药交中心拒绝接收在截止时间后提交的任何申报及申报材料。</w:t>
      </w:r>
    </w:p>
    <w:p>
      <w:pPr>
        <w:pStyle w:val="18"/>
        <w:tabs>
          <w:tab w:val="left" w:pos="1237"/>
        </w:tabs>
        <w:spacing w:line="600" w:lineRule="exact"/>
        <w:ind w:left="0" w:right="408" w:firstLineChars="200"/>
        <w:jc w:val="both"/>
        <w:rPr>
          <w:rFonts w:ascii="Times New Roman" w:hAnsi="Times New Roman" w:eastAsia="仿宋_GB2312" w:cs="Times New Roman"/>
          <w:kern w:val="2"/>
          <w:sz w:val="30"/>
          <w:szCs w:val="30"/>
          <w:lang w:val="en-US" w:bidi="ar-SA"/>
        </w:rPr>
      </w:pPr>
      <w:r>
        <w:rPr>
          <w:rFonts w:ascii="Times New Roman" w:hAnsi="Times New Roman" w:eastAsia="仿宋_GB2312" w:cs="Times New Roman"/>
          <w:kern w:val="2"/>
          <w:sz w:val="30"/>
          <w:szCs w:val="30"/>
          <w:lang w:val="en-US" w:bidi="ar-SA"/>
        </w:rPr>
        <w:t>3.</w:t>
      </w:r>
      <w:r>
        <w:rPr>
          <w:rFonts w:ascii="Times New Roman" w:hAnsi="Times New Roman" w:cs="Times New Roman"/>
          <w:spacing w:val="-1"/>
          <w:sz w:val="30"/>
          <w:lang w:val="en-US" w:bidi="ar-SA"/>
        </w:rPr>
        <w:t>申报截止时间后，申报企业不得对其申报材料做任何修改。</w:t>
      </w:r>
    </w:p>
    <w:p>
      <w:pPr>
        <w:autoSpaceDE/>
        <w:autoSpaceDN/>
        <w:spacing w:line="560" w:lineRule="exact"/>
        <w:ind w:firstLine="602" w:firstLineChars="200"/>
        <w:jc w:val="both"/>
        <w:rPr>
          <w:rFonts w:ascii="Times New Roman" w:hAnsi="Times New Roman" w:cs="Times New Roman"/>
          <w:b/>
          <w:bCs/>
          <w:kern w:val="2"/>
          <w:sz w:val="30"/>
          <w:szCs w:val="30"/>
          <w:lang w:val="en-US" w:bidi="ar-SA"/>
        </w:rPr>
      </w:pPr>
      <w:r>
        <w:rPr>
          <w:rFonts w:ascii="Times New Roman" w:hAnsi="Times New Roman" w:cs="Times New Roman"/>
          <w:b/>
          <w:bCs/>
          <w:kern w:val="2"/>
          <w:sz w:val="30"/>
          <w:szCs w:val="30"/>
          <w:lang w:val="en-US" w:bidi="ar-SA"/>
        </w:rPr>
        <w:t>（五）申报材料的式样和签署</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1.申报材料须打印或用不褪色书写工具书写，并由申报企业加盖公章后扫描为PDF文件，并按要求在系统提交。</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2.申报企业除对笔误等作勘误外，不得行间插字、涂改或增删， 如有修改错漏处，必须由企业法定代表人或企业被授权人签字或盖章。</w:t>
      </w:r>
    </w:p>
    <w:p>
      <w:pPr>
        <w:autoSpaceDE/>
        <w:autoSpaceDN/>
        <w:spacing w:line="560" w:lineRule="exact"/>
        <w:ind w:firstLine="600" w:firstLineChars="200"/>
        <w:jc w:val="both"/>
        <w:rPr>
          <w:rFonts w:ascii="黑体" w:hAnsi="黑体" w:eastAsia="黑体" w:cs="黑体"/>
          <w:kern w:val="2"/>
          <w:sz w:val="30"/>
          <w:szCs w:val="30"/>
          <w:lang w:val="en-US" w:bidi="ar-SA"/>
        </w:rPr>
      </w:pPr>
      <w:r>
        <w:rPr>
          <w:rFonts w:hint="eastAsia" w:ascii="黑体" w:hAnsi="黑体" w:eastAsia="黑体" w:cs="黑体"/>
          <w:kern w:val="2"/>
          <w:sz w:val="30"/>
          <w:szCs w:val="30"/>
          <w:lang w:val="en-US" w:bidi="ar-SA"/>
        </w:rPr>
        <w:t>三、企业梯级报价</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（一）</w:t>
      </w:r>
      <w:r>
        <w:rPr>
          <w:rFonts w:ascii="Times New Roman" w:hAnsi="Times New Roman" w:cs="Times New Roman"/>
          <w:kern w:val="2"/>
          <w:sz w:val="30"/>
          <w:szCs w:val="30"/>
          <w:lang w:val="en-US" w:bidi="ar-SA"/>
        </w:rPr>
        <w:t>申报价货币单位为人民币（元），四舍五入保留小数点后</w:t>
      </w:r>
      <w:r>
        <w:rPr>
          <w:rFonts w:hint="eastAsia" w:ascii="Times New Roman" w:hAnsi="Times New Roman" w:cs="Times New Roman"/>
          <w:kern w:val="2"/>
          <w:sz w:val="30"/>
          <w:szCs w:val="30"/>
          <w:lang w:val="en-US" w:bidi="ar-SA"/>
        </w:rPr>
        <w:t>4</w:t>
      </w:r>
      <w:r>
        <w:rPr>
          <w:rFonts w:ascii="Times New Roman" w:hAnsi="Times New Roman" w:cs="Times New Roman"/>
          <w:kern w:val="2"/>
          <w:sz w:val="30"/>
          <w:szCs w:val="30"/>
          <w:lang w:val="en-US" w:bidi="ar-SA"/>
        </w:rPr>
        <w:t>位；以最小计量单位（指单片/单粒/单袋/单支等）为计价单位。</w:t>
      </w:r>
    </w:p>
    <w:p>
      <w:pPr>
        <w:autoSpaceDE/>
        <w:autoSpaceDN/>
        <w:spacing w:line="600" w:lineRule="exact"/>
        <w:ind w:firstLine="600" w:firstLineChars="200"/>
        <w:jc w:val="both"/>
        <w:rPr>
          <w:rFonts w:hint="eastAsia" w:eastAsia="方正仿宋简体"/>
          <w:lang w:val="en-US" w:eastAsia="zh-CN"/>
        </w:rPr>
      </w:pPr>
      <w:r>
        <w:rPr>
          <w:rFonts w:hint="eastAsia" w:ascii="Times New Roman" w:hAnsi="Times New Roman" w:cs="Times New Roman"/>
          <w:kern w:val="2"/>
          <w:sz w:val="30"/>
          <w:szCs w:val="30"/>
          <w:lang w:val="en-US" w:bidi="ar-SA"/>
        </w:rPr>
        <w:t>（二）</w:t>
      </w:r>
      <w:r>
        <w:rPr>
          <w:rFonts w:ascii="Times New Roman" w:hAnsi="Times New Roman" w:cs="Times New Roman"/>
          <w:kern w:val="2"/>
          <w:sz w:val="30"/>
          <w:szCs w:val="30"/>
          <w:lang w:val="en-US" w:bidi="ar-SA"/>
        </w:rPr>
        <w:t>申报价为申报企业的实际供应价，应包括税费、配送费等在内的所有费用。</w:t>
      </w:r>
    </w:p>
    <w:p>
      <w:pPr>
        <w:autoSpaceDE/>
        <w:autoSpaceDN/>
        <w:spacing w:line="600" w:lineRule="exact"/>
        <w:ind w:firstLine="600" w:firstLineChars="200"/>
        <w:jc w:val="both"/>
        <w:rPr>
          <w:rFonts w:hint="eastAsia" w:ascii="Times New Roman" w:hAnsi="Times New Roman" w:cs="Times New Roman"/>
          <w:color w:val="auto"/>
          <w:kern w:val="2"/>
          <w:sz w:val="30"/>
          <w:szCs w:val="30"/>
          <w:lang w:val="en-US" w:bidi="ar-SA"/>
        </w:rPr>
      </w:pPr>
      <w:r>
        <w:rPr>
          <w:rFonts w:hint="eastAsia" w:ascii="Times New Roman" w:hAnsi="Times New Roman" w:cs="Times New Roman"/>
          <w:color w:val="auto"/>
          <w:kern w:val="2"/>
          <w:sz w:val="30"/>
          <w:szCs w:val="30"/>
          <w:lang w:val="en-US" w:eastAsia="zh-CN" w:bidi="ar-SA"/>
        </w:rPr>
        <w:t>（三）采购清单的产品按</w:t>
      </w:r>
      <w:r>
        <w:rPr>
          <w:rFonts w:hint="eastAsia" w:ascii="Times New Roman" w:hAnsi="Times New Roman" w:cs="Times New Roman"/>
          <w:color w:val="auto"/>
          <w:kern w:val="2"/>
          <w:sz w:val="30"/>
          <w:szCs w:val="30"/>
          <w:lang w:val="en-US" w:bidi="ar-SA"/>
        </w:rPr>
        <w:t>过评类产品和非过评类产品</w:t>
      </w:r>
      <w:r>
        <w:rPr>
          <w:rFonts w:hint="eastAsia" w:ascii="Times New Roman" w:hAnsi="Times New Roman" w:cs="Times New Roman"/>
          <w:color w:val="auto"/>
          <w:kern w:val="2"/>
          <w:sz w:val="30"/>
          <w:szCs w:val="30"/>
          <w:lang w:val="en-US" w:eastAsia="zh-CN" w:bidi="ar-SA"/>
        </w:rPr>
        <w:t>区分</w:t>
      </w:r>
      <w:r>
        <w:rPr>
          <w:rFonts w:hint="eastAsia" w:ascii="Times New Roman" w:hAnsi="Times New Roman" w:cs="Times New Roman"/>
          <w:color w:val="auto"/>
          <w:kern w:val="2"/>
          <w:sz w:val="30"/>
          <w:szCs w:val="30"/>
          <w:lang w:val="en-US" w:bidi="ar-SA"/>
        </w:rPr>
        <w:t>报价。</w:t>
      </w:r>
      <w:r>
        <w:rPr>
          <w:rFonts w:hint="eastAsia" w:ascii="Times New Roman" w:hAnsi="Times New Roman" w:cs="Times New Roman"/>
          <w:color w:val="auto"/>
          <w:kern w:val="2"/>
          <w:sz w:val="30"/>
          <w:szCs w:val="30"/>
          <w:lang w:val="en-US" w:eastAsia="zh-CN" w:bidi="ar-SA"/>
        </w:rPr>
        <w:t>若</w:t>
      </w:r>
      <w:r>
        <w:rPr>
          <w:rFonts w:hint="eastAsia" w:ascii="Times New Roman" w:hAnsi="Times New Roman" w:cs="Times New Roman"/>
          <w:color w:val="auto"/>
          <w:kern w:val="2"/>
          <w:sz w:val="30"/>
          <w:szCs w:val="30"/>
          <w:lang w:val="en-US" w:bidi="ar-SA"/>
        </w:rPr>
        <w:t>同企业同品种不同剂型规格存在差比关系的，须选择一个品规作为价格申报品规，其他品规按申报品规的价格参照差比价计算后，参与对应类别及采购单进行竞价。</w:t>
      </w:r>
      <w:r>
        <w:rPr>
          <w:rFonts w:hint="eastAsia" w:ascii="Times New Roman" w:hAnsi="Times New Roman" w:cs="Times New Roman"/>
          <w:color w:val="auto"/>
          <w:kern w:val="2"/>
          <w:sz w:val="30"/>
          <w:szCs w:val="30"/>
          <w:lang w:val="en-US" w:eastAsia="zh-CN" w:bidi="ar-SA"/>
        </w:rPr>
        <w:t>若</w:t>
      </w:r>
      <w:r>
        <w:rPr>
          <w:rFonts w:hint="eastAsia" w:ascii="Times New Roman" w:hAnsi="Times New Roman" w:cs="Times New Roman"/>
          <w:color w:val="auto"/>
          <w:kern w:val="2"/>
          <w:sz w:val="30"/>
          <w:szCs w:val="30"/>
          <w:lang w:val="en-US" w:bidi="ar-SA"/>
        </w:rPr>
        <w:t>同企业同品种不同剂型</w:t>
      </w:r>
      <w:r>
        <w:rPr>
          <w:rFonts w:hint="eastAsia" w:ascii="Times New Roman" w:hAnsi="Times New Roman" w:cs="Times New Roman"/>
          <w:color w:val="auto"/>
          <w:kern w:val="2"/>
          <w:sz w:val="30"/>
          <w:szCs w:val="30"/>
          <w:lang w:val="en-US" w:eastAsia="zh-CN" w:bidi="ar-SA"/>
        </w:rPr>
        <w:t>不</w:t>
      </w:r>
      <w:r>
        <w:rPr>
          <w:rFonts w:hint="eastAsia" w:ascii="Times New Roman" w:hAnsi="Times New Roman" w:cs="Times New Roman"/>
          <w:color w:val="auto"/>
          <w:kern w:val="2"/>
          <w:sz w:val="30"/>
          <w:szCs w:val="30"/>
          <w:lang w:val="en-US" w:bidi="ar-SA"/>
        </w:rPr>
        <w:t>存在差比关系的，</w:t>
      </w:r>
      <w:r>
        <w:rPr>
          <w:rFonts w:hint="eastAsia" w:ascii="Times New Roman" w:hAnsi="Times New Roman" w:cs="Times New Roman"/>
          <w:color w:val="auto"/>
          <w:kern w:val="2"/>
          <w:sz w:val="30"/>
          <w:szCs w:val="30"/>
          <w:lang w:val="en-US" w:eastAsia="zh-CN" w:bidi="ar-SA"/>
        </w:rPr>
        <w:t>无差比关系的每一个剂型</w:t>
      </w:r>
      <w:r>
        <w:rPr>
          <w:rFonts w:hint="eastAsia" w:ascii="Times New Roman" w:hAnsi="Times New Roman" w:cs="Times New Roman"/>
          <w:color w:val="auto"/>
          <w:kern w:val="2"/>
          <w:sz w:val="30"/>
          <w:szCs w:val="30"/>
          <w:lang w:val="en-US" w:bidi="ar-SA"/>
        </w:rPr>
        <w:t>须</w:t>
      </w:r>
      <w:r>
        <w:rPr>
          <w:rFonts w:hint="eastAsia" w:ascii="Times New Roman" w:hAnsi="Times New Roman" w:cs="Times New Roman"/>
          <w:color w:val="auto"/>
          <w:kern w:val="2"/>
          <w:sz w:val="30"/>
          <w:szCs w:val="30"/>
          <w:lang w:val="en-US" w:eastAsia="zh-CN" w:bidi="ar-SA"/>
        </w:rPr>
        <w:t>分别</w:t>
      </w:r>
      <w:r>
        <w:rPr>
          <w:rFonts w:hint="eastAsia" w:ascii="Times New Roman" w:hAnsi="Times New Roman" w:cs="Times New Roman"/>
          <w:color w:val="auto"/>
          <w:kern w:val="2"/>
          <w:sz w:val="30"/>
          <w:szCs w:val="30"/>
          <w:lang w:val="en-US" w:bidi="ar-SA"/>
        </w:rPr>
        <w:t>选择一个品规作为价格申报品规。</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w:t>
      </w:r>
      <w:r>
        <w:rPr>
          <w:rFonts w:hint="eastAsia" w:ascii="Times New Roman" w:hAnsi="Times New Roman" w:cs="Times New Roman"/>
          <w:kern w:val="2"/>
          <w:sz w:val="30"/>
          <w:szCs w:val="30"/>
          <w:lang w:val="en-US" w:eastAsia="zh-CN" w:bidi="ar-SA"/>
        </w:rPr>
        <w:t>四</w:t>
      </w:r>
      <w:r>
        <w:rPr>
          <w:rFonts w:hint="eastAsia" w:ascii="Times New Roman" w:hAnsi="Times New Roman" w:cs="Times New Roman"/>
          <w:kern w:val="2"/>
          <w:sz w:val="30"/>
          <w:szCs w:val="30"/>
          <w:lang w:val="en-US" w:bidi="ar-SA"/>
        </w:rPr>
        <w:t>）申报企业</w:t>
      </w:r>
      <w:r>
        <w:rPr>
          <w:rFonts w:hint="eastAsia" w:ascii="Times New Roman" w:hAnsi="Times New Roman" w:cs="Times New Roman"/>
          <w:kern w:val="2"/>
          <w:sz w:val="30"/>
          <w:szCs w:val="30"/>
          <w:lang w:val="en-US" w:eastAsia="zh-CN" w:bidi="ar-SA"/>
        </w:rPr>
        <w:t>按照</w:t>
      </w:r>
      <w:r>
        <w:rPr>
          <w:rFonts w:hint="eastAsia" w:ascii="Times New Roman" w:hAnsi="Times New Roman" w:cs="Times New Roman"/>
          <w:kern w:val="2"/>
          <w:sz w:val="30"/>
          <w:szCs w:val="30"/>
          <w:lang w:val="en-US" w:bidi="ar-SA"/>
        </w:rPr>
        <w:t>量价挂钩原则，合理申报A采购单</w:t>
      </w:r>
      <w:r>
        <w:rPr>
          <w:rFonts w:hint="eastAsia" w:ascii="Times New Roman" w:hAnsi="Times New Roman" w:cs="Times New Roman"/>
          <w:kern w:val="2"/>
          <w:sz w:val="30"/>
          <w:szCs w:val="30"/>
          <w:lang w:val="en-US" w:eastAsia="zh-CN" w:bidi="ar-SA"/>
        </w:rPr>
        <w:t>产品</w:t>
      </w:r>
      <w:r>
        <w:rPr>
          <w:rFonts w:hint="eastAsia" w:ascii="Times New Roman" w:hAnsi="Times New Roman" w:cs="Times New Roman"/>
          <w:kern w:val="2"/>
          <w:sz w:val="30"/>
          <w:szCs w:val="30"/>
          <w:lang w:val="en-US" w:bidi="ar-SA"/>
        </w:rPr>
        <w:t>梯级价格。</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1.过评A采购单2家（含</w:t>
      </w:r>
      <w:r>
        <w:rPr>
          <w:rFonts w:hint="eastAsia" w:ascii="Times New Roman" w:hAnsi="Times New Roman" w:cs="Times New Roman"/>
          <w:kern w:val="2"/>
          <w:sz w:val="30"/>
          <w:szCs w:val="30"/>
          <w:lang w:val="en-US" w:eastAsia="zh-CN" w:bidi="ar-SA"/>
        </w:rPr>
        <w:t>本数</w:t>
      </w:r>
      <w:r>
        <w:rPr>
          <w:rFonts w:hint="eastAsia" w:ascii="Times New Roman" w:hAnsi="Times New Roman" w:cs="Times New Roman"/>
          <w:kern w:val="2"/>
          <w:sz w:val="30"/>
          <w:szCs w:val="30"/>
          <w:lang w:val="en-US" w:bidi="ar-SA"/>
        </w:rPr>
        <w:t>）以下的，按照2个梯级分别报价，第1梯级报价是联盟地区本企业首年预采购量为</w:t>
      </w:r>
      <w:r>
        <w:rPr>
          <w:rFonts w:hint="eastAsia" w:ascii="Times New Roman" w:hAnsi="Times New Roman" w:cs="Times New Roman"/>
          <w:kern w:val="2"/>
          <w:sz w:val="30"/>
          <w:szCs w:val="30"/>
          <w:lang w:val="en-US" w:eastAsia="zh-CN" w:bidi="ar-SA"/>
        </w:rPr>
        <w:t>？</w:t>
      </w:r>
      <w:r>
        <w:rPr>
          <w:rFonts w:hint="eastAsia" w:ascii="Times New Roman" w:hAnsi="Times New Roman" w:cs="Times New Roman"/>
          <w:kern w:val="2"/>
          <w:sz w:val="30"/>
          <w:szCs w:val="30"/>
          <w:lang w:val="en-US" w:bidi="ar-SA"/>
        </w:rPr>
        <w:t>%对应的梯级价格，第2梯级报价超过联盟地区本企业首年预采购量的</w:t>
      </w:r>
      <w:r>
        <w:rPr>
          <w:rFonts w:hint="eastAsia" w:ascii="Times New Roman" w:hAnsi="Times New Roman" w:cs="Times New Roman"/>
          <w:kern w:val="2"/>
          <w:sz w:val="30"/>
          <w:szCs w:val="30"/>
          <w:lang w:val="en-US" w:eastAsia="zh-CN" w:bidi="ar-SA"/>
        </w:rPr>
        <w:t>？</w:t>
      </w:r>
      <w:r>
        <w:rPr>
          <w:rFonts w:hint="eastAsia" w:ascii="Times New Roman" w:hAnsi="Times New Roman" w:cs="Times New Roman"/>
          <w:kern w:val="2"/>
          <w:sz w:val="30"/>
          <w:szCs w:val="30"/>
          <w:lang w:val="en-US" w:bidi="ar-SA"/>
        </w:rPr>
        <w:t>%对应的梯级价格。第2梯级报价高于第1梯级报价的为无效报价，第2梯级报价比第1梯级报价的降幅至少以</w:t>
      </w:r>
      <w:r>
        <w:rPr>
          <w:rFonts w:hint="eastAsia" w:ascii="Times New Roman" w:hAnsi="Times New Roman" w:cs="Times New Roman"/>
          <w:kern w:val="2"/>
          <w:sz w:val="30"/>
          <w:szCs w:val="30"/>
          <w:lang w:val="en-US" w:eastAsia="zh-CN" w:bidi="ar-SA"/>
        </w:rPr>
        <w:t>2</w:t>
      </w:r>
      <w:r>
        <w:rPr>
          <w:rFonts w:hint="eastAsia" w:ascii="Times New Roman" w:hAnsi="Times New Roman" w:cs="Times New Roman"/>
          <w:kern w:val="2"/>
          <w:sz w:val="30"/>
          <w:szCs w:val="30"/>
          <w:lang w:val="en-US" w:bidi="ar-SA"/>
        </w:rPr>
        <w:t>%（百分比保留到个位）计。</w:t>
      </w:r>
    </w:p>
    <w:p>
      <w:pPr>
        <w:autoSpaceDE/>
        <w:autoSpaceDN/>
        <w:spacing w:line="600" w:lineRule="exact"/>
        <w:ind w:firstLine="600" w:firstLineChars="200"/>
        <w:jc w:val="both"/>
        <w:rPr>
          <w:rFonts w:hint="eastAsia"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lang w:val="en-US" w:bidi="ar-SA"/>
        </w:rPr>
        <w:t>2.过评A采购单3家（含</w:t>
      </w:r>
      <w:r>
        <w:rPr>
          <w:rFonts w:hint="eastAsia" w:ascii="Times New Roman" w:hAnsi="Times New Roman" w:cs="Times New Roman"/>
          <w:kern w:val="2"/>
          <w:sz w:val="30"/>
          <w:szCs w:val="30"/>
          <w:lang w:val="en-US" w:eastAsia="zh-CN" w:bidi="ar-SA"/>
        </w:rPr>
        <w:t>本数</w:t>
      </w:r>
      <w:r>
        <w:rPr>
          <w:rFonts w:hint="eastAsia" w:ascii="Times New Roman" w:hAnsi="Times New Roman" w:cs="Times New Roman"/>
          <w:kern w:val="2"/>
          <w:sz w:val="30"/>
          <w:szCs w:val="30"/>
          <w:lang w:val="en-US" w:bidi="ar-SA"/>
        </w:rPr>
        <w:t>）以上的，按照2个梯级分别报价，第1梯级报价是联盟地区本企业首年预采购量为</w:t>
      </w:r>
      <w:r>
        <w:rPr>
          <w:rFonts w:hint="eastAsia" w:ascii="Times New Roman" w:hAnsi="Times New Roman" w:cs="Times New Roman"/>
          <w:color w:val="auto"/>
          <w:kern w:val="2"/>
          <w:sz w:val="30"/>
          <w:szCs w:val="30"/>
          <w:lang w:val="en-US" w:eastAsia="zh-CN" w:bidi="ar-SA"/>
        </w:rPr>
        <w:t>100</w:t>
      </w:r>
      <w:r>
        <w:rPr>
          <w:rFonts w:hint="eastAsia" w:ascii="Times New Roman" w:hAnsi="Times New Roman" w:cs="Times New Roman"/>
          <w:color w:val="auto"/>
          <w:kern w:val="2"/>
          <w:sz w:val="30"/>
          <w:szCs w:val="30"/>
          <w:lang w:val="en-US" w:bidi="ar-SA"/>
        </w:rPr>
        <w:t>%</w:t>
      </w:r>
      <w:r>
        <w:rPr>
          <w:rFonts w:hint="eastAsia" w:ascii="Times New Roman" w:hAnsi="Times New Roman" w:cs="Times New Roman"/>
          <w:kern w:val="2"/>
          <w:sz w:val="30"/>
          <w:szCs w:val="30"/>
          <w:lang w:val="en-US" w:bidi="ar-SA"/>
        </w:rPr>
        <w:t>对应的梯级价格，第2梯级报价是超过联盟地区本企业首年预采购量的</w:t>
      </w:r>
      <w:r>
        <w:rPr>
          <w:rFonts w:hint="eastAsia" w:ascii="Times New Roman" w:hAnsi="Times New Roman" w:cs="Times New Roman"/>
          <w:kern w:val="2"/>
          <w:sz w:val="30"/>
          <w:szCs w:val="30"/>
          <w:lang w:val="en-US" w:eastAsia="zh-CN" w:bidi="ar-SA"/>
        </w:rPr>
        <w:t>100</w:t>
      </w:r>
      <w:r>
        <w:rPr>
          <w:rFonts w:hint="eastAsia" w:ascii="Times New Roman" w:hAnsi="Times New Roman" w:cs="Times New Roman"/>
          <w:kern w:val="2"/>
          <w:sz w:val="30"/>
          <w:szCs w:val="30"/>
          <w:lang w:val="en-US" w:bidi="ar-SA"/>
        </w:rPr>
        <w:t>%对应的梯级价格。第2梯级报价高</w:t>
      </w:r>
      <w:r>
        <w:rPr>
          <w:rFonts w:hint="eastAsia" w:ascii="Times New Roman" w:hAnsi="Times New Roman" w:cs="Times New Roman"/>
          <w:kern w:val="2"/>
          <w:sz w:val="30"/>
          <w:szCs w:val="30"/>
          <w:highlight w:val="none"/>
          <w:lang w:val="en-US" w:bidi="ar-SA"/>
        </w:rPr>
        <w:t>于第1梯级报价的为无效报价，第2梯级报价比第1梯级报价的降幅至少以</w:t>
      </w:r>
      <w:r>
        <w:rPr>
          <w:rFonts w:hint="eastAsia" w:ascii="Times New Roman" w:hAnsi="Times New Roman" w:cs="Times New Roman"/>
          <w:kern w:val="2"/>
          <w:sz w:val="30"/>
          <w:szCs w:val="30"/>
          <w:highlight w:val="none"/>
          <w:lang w:val="en-US" w:eastAsia="zh-CN" w:bidi="ar-SA"/>
        </w:rPr>
        <w:t>2</w:t>
      </w:r>
      <w:r>
        <w:rPr>
          <w:rFonts w:hint="eastAsia" w:ascii="Times New Roman" w:hAnsi="Times New Roman" w:cs="Times New Roman"/>
          <w:kern w:val="2"/>
          <w:sz w:val="30"/>
          <w:szCs w:val="30"/>
          <w:highlight w:val="none"/>
          <w:lang w:val="en-US" w:bidi="ar-SA"/>
        </w:rPr>
        <w:t>%（百分比保留到个位）计。</w:t>
      </w:r>
    </w:p>
    <w:p>
      <w:pPr>
        <w:autoSpaceDE/>
        <w:autoSpaceDN/>
        <w:spacing w:line="600" w:lineRule="exact"/>
        <w:ind w:firstLine="600" w:firstLineChars="200"/>
        <w:jc w:val="both"/>
        <w:rPr>
          <w:rFonts w:hint="eastAsia" w:ascii="Times New Roman" w:hAnsi="Times New Roman" w:cs="Times New Roman"/>
          <w:color w:val="auto"/>
          <w:kern w:val="2"/>
          <w:sz w:val="30"/>
          <w:szCs w:val="30"/>
          <w:highlight w:val="none"/>
          <w:lang w:val="en-US" w:eastAsia="zh-CN" w:bidi="ar-SA"/>
        </w:rPr>
      </w:pPr>
      <w:r>
        <w:rPr>
          <w:rFonts w:hint="eastAsia" w:ascii="Times New Roman" w:hAnsi="Times New Roman" w:cs="Times New Roman"/>
          <w:kern w:val="2"/>
          <w:sz w:val="30"/>
          <w:szCs w:val="30"/>
          <w:highlight w:val="none"/>
          <w:lang w:val="en-US" w:eastAsia="zh-CN" w:bidi="ar-SA"/>
        </w:rPr>
        <w:t>3.若申报品规的“单位可比价”≤0.1000元，第2梯级报价可等于第1 梯级报价。若申报品规的“单位可比价”＞0.1000元，第2梯级申报品规的“单位可比价”可等于0.1000元。</w:t>
      </w:r>
    </w:p>
    <w:p>
      <w:pPr>
        <w:autoSpaceDE/>
        <w:autoSpaceDN/>
        <w:spacing w:line="600" w:lineRule="exact"/>
        <w:ind w:firstLine="600" w:firstLineChars="200"/>
        <w:jc w:val="both"/>
        <w:rPr>
          <w:rFonts w:hint="eastAsia" w:ascii="Times New Roman" w:hAnsi="Times New Roman" w:cs="Times New Roman"/>
          <w:color w:val="auto"/>
          <w:kern w:val="2"/>
          <w:sz w:val="30"/>
          <w:szCs w:val="30"/>
          <w:highlight w:val="none"/>
          <w:lang w:val="en-US" w:eastAsia="zh-CN" w:bidi="ar-SA"/>
        </w:rPr>
      </w:pPr>
      <w:r>
        <w:rPr>
          <w:rFonts w:hint="eastAsia" w:ascii="Times New Roman" w:hAnsi="Times New Roman" w:cs="Times New Roman"/>
          <w:color w:val="auto"/>
          <w:kern w:val="2"/>
          <w:sz w:val="30"/>
          <w:szCs w:val="30"/>
          <w:highlight w:val="none"/>
          <w:lang w:val="en-US" w:eastAsia="zh-CN" w:bidi="ar-SA"/>
        </w:rPr>
        <w:t>（五）同品种“单位可比价”：同品种企业申报品规的报价（A采购单按第1梯级报价）按差比价规则折算为统一代表品规的价格，作为申报品规的单位可比价。</w:t>
      </w:r>
    </w:p>
    <w:p>
      <w:pPr>
        <w:autoSpaceDE/>
        <w:autoSpaceDN/>
        <w:spacing w:line="600" w:lineRule="exact"/>
        <w:ind w:firstLine="600" w:firstLineChars="200"/>
        <w:jc w:val="both"/>
        <w:rPr>
          <w:rFonts w:hint="eastAsia" w:ascii="Times New Roman" w:hAnsi="Times New Roman" w:cs="Times New Roman"/>
          <w:color w:val="auto"/>
          <w:kern w:val="2"/>
          <w:sz w:val="30"/>
          <w:szCs w:val="30"/>
          <w:highlight w:val="none"/>
          <w:lang w:val="en-US" w:eastAsia="zh-CN" w:bidi="ar-SA"/>
        </w:rPr>
      </w:pPr>
      <w:r>
        <w:rPr>
          <w:rFonts w:hint="eastAsia" w:ascii="Times New Roman" w:hAnsi="Times New Roman" w:cs="Times New Roman"/>
          <w:color w:val="auto"/>
          <w:kern w:val="2"/>
          <w:sz w:val="30"/>
          <w:szCs w:val="30"/>
          <w:highlight w:val="none"/>
          <w:lang w:val="en-US" w:eastAsia="zh-CN" w:bidi="ar-SA"/>
        </w:rPr>
        <w:t>（六）过评B采购单企业的报价对应联盟地区本企业首年预采购量的100%，非过评B采购单企业不设置约定首年预采购量比例。</w:t>
      </w:r>
    </w:p>
    <w:p>
      <w:pPr>
        <w:autoSpaceDE/>
        <w:autoSpaceDN/>
        <w:spacing w:line="600" w:lineRule="exact"/>
        <w:ind w:firstLine="600" w:firstLineChars="200"/>
        <w:jc w:val="both"/>
        <w:rPr>
          <w:rFonts w:hint="eastAsia" w:ascii="Times New Roman" w:hAnsi="Times New Roman" w:cs="Times New Roman"/>
          <w:color w:val="auto"/>
          <w:kern w:val="2"/>
          <w:sz w:val="30"/>
          <w:szCs w:val="30"/>
          <w:highlight w:val="none"/>
          <w:lang w:val="en-US" w:eastAsia="zh-CN" w:bidi="ar-SA"/>
        </w:rPr>
      </w:pPr>
      <w:r>
        <w:rPr>
          <w:rFonts w:hint="eastAsia" w:ascii="Times New Roman" w:hAnsi="Times New Roman" w:cs="Times New Roman"/>
          <w:color w:val="auto"/>
          <w:kern w:val="2"/>
          <w:sz w:val="30"/>
          <w:szCs w:val="30"/>
          <w:highlight w:val="none"/>
          <w:lang w:val="en-US" w:eastAsia="zh-CN" w:bidi="ar-SA"/>
        </w:rPr>
        <w:t>（七）同品种企业申报品规的“单位可比价”须不高于最高有效申报价。</w:t>
      </w:r>
    </w:p>
    <w:p>
      <w:pPr>
        <w:autoSpaceDE/>
        <w:autoSpaceDN/>
        <w:spacing w:line="600" w:lineRule="exact"/>
        <w:ind w:firstLine="600" w:firstLineChars="200"/>
        <w:jc w:val="both"/>
        <w:rPr>
          <w:rFonts w:hint="eastAsia" w:ascii="Times New Roman" w:hAnsi="Times New Roman" w:cs="Times New Roman"/>
          <w:color w:val="auto"/>
          <w:kern w:val="2"/>
          <w:sz w:val="30"/>
          <w:szCs w:val="30"/>
          <w:highlight w:val="none"/>
          <w:lang w:val="en-US" w:eastAsia="zh-CN" w:bidi="ar-SA"/>
        </w:rPr>
      </w:pPr>
      <w:r>
        <w:rPr>
          <w:rFonts w:hint="eastAsia" w:ascii="Times New Roman" w:hAnsi="Times New Roman" w:cs="Times New Roman"/>
          <w:color w:val="auto"/>
          <w:kern w:val="2"/>
          <w:sz w:val="30"/>
          <w:szCs w:val="30"/>
          <w:highlight w:val="none"/>
          <w:lang w:val="en-US" w:eastAsia="zh-CN" w:bidi="ar-SA"/>
        </w:rPr>
        <w:t>（八）申报企业“供应清单”内中选药品的价格由省平台以申报品规为代表品按差比价计算确定。</w:t>
      </w:r>
    </w:p>
    <w:p>
      <w:pPr>
        <w:autoSpaceDE/>
        <w:autoSpaceDN/>
        <w:spacing w:line="600" w:lineRule="exact"/>
        <w:ind w:firstLine="600" w:firstLineChars="200"/>
        <w:jc w:val="both"/>
        <w:rPr>
          <w:rFonts w:hint="eastAsia" w:ascii="Times New Roman" w:hAnsi="Times New Roman" w:cs="Times New Roman"/>
          <w:color w:val="auto"/>
          <w:kern w:val="2"/>
          <w:sz w:val="30"/>
          <w:szCs w:val="30"/>
          <w:highlight w:val="none"/>
          <w:lang w:val="en-US" w:eastAsia="zh-CN" w:bidi="ar-SA"/>
        </w:rPr>
      </w:pPr>
      <w:r>
        <w:rPr>
          <w:rFonts w:hint="eastAsia" w:ascii="Times New Roman" w:hAnsi="Times New Roman" w:cs="Times New Roman"/>
          <w:color w:val="auto"/>
          <w:kern w:val="2"/>
          <w:sz w:val="30"/>
          <w:szCs w:val="30"/>
          <w:highlight w:val="none"/>
          <w:lang w:val="en-US" w:eastAsia="zh-CN" w:bidi="ar-SA"/>
        </w:rPr>
        <w:t>（九）规定时间内未报价或报错价的，报价结束后不得补报或修改，由此引起的一切后果由投标人自行负责。</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color w:val="auto"/>
          <w:kern w:val="2"/>
          <w:sz w:val="30"/>
          <w:szCs w:val="30"/>
          <w:highlight w:val="none"/>
          <w:lang w:val="en-US" w:eastAsia="zh-CN" w:bidi="ar-SA"/>
        </w:rPr>
        <w:t>（十）本次药品集团带量采购所涉药品差比价关系参照现有规则。</w:t>
      </w:r>
    </w:p>
    <w:p>
      <w:pPr>
        <w:autoSpaceDE/>
        <w:autoSpaceDN/>
        <w:spacing w:line="560" w:lineRule="exact"/>
        <w:ind w:firstLine="600" w:firstLineChars="200"/>
        <w:jc w:val="both"/>
        <w:rPr>
          <w:rFonts w:hint="eastAsia" w:ascii="黑体" w:hAnsi="黑体" w:eastAsia="黑体" w:cs="黑体"/>
          <w:kern w:val="2"/>
          <w:sz w:val="30"/>
          <w:szCs w:val="30"/>
          <w:lang w:val="en-US" w:bidi="ar-SA"/>
        </w:rPr>
      </w:pPr>
      <w:r>
        <w:rPr>
          <w:rFonts w:hint="eastAsia" w:ascii="黑体" w:hAnsi="黑体" w:eastAsia="黑体" w:cs="黑体"/>
          <w:kern w:val="2"/>
          <w:sz w:val="30"/>
          <w:szCs w:val="30"/>
          <w:lang w:val="en-US" w:bidi="ar-SA"/>
        </w:rPr>
        <w:t>四、报价信息解密</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报价信息解密时邀请公证机构和有关部门参加，对报价信息解密的全过程进行监督。</w:t>
      </w:r>
    </w:p>
    <w:p>
      <w:pPr>
        <w:autoSpaceDE/>
        <w:autoSpaceDN/>
        <w:spacing w:line="560" w:lineRule="exact"/>
        <w:ind w:firstLine="600" w:firstLineChars="200"/>
        <w:jc w:val="both"/>
        <w:rPr>
          <w:rFonts w:hint="eastAsia" w:ascii="黑体" w:hAnsi="黑体" w:eastAsia="黑体" w:cs="黑体"/>
          <w:kern w:val="2"/>
          <w:sz w:val="30"/>
          <w:szCs w:val="30"/>
          <w:lang w:val="en-US" w:bidi="ar-SA"/>
        </w:rPr>
      </w:pPr>
      <w:r>
        <w:rPr>
          <w:rFonts w:hint="eastAsia" w:ascii="黑体" w:hAnsi="黑体" w:eastAsia="黑体" w:cs="黑体"/>
          <w:kern w:val="2"/>
          <w:sz w:val="30"/>
          <w:szCs w:val="30"/>
          <w:lang w:val="en-US" w:bidi="ar-SA"/>
        </w:rPr>
        <w:t>五、拟中选产品确定</w:t>
      </w:r>
    </w:p>
    <w:p>
      <w:pPr>
        <w:autoSpaceDE/>
        <w:autoSpaceDN/>
        <w:spacing w:line="560" w:lineRule="exact"/>
        <w:ind w:firstLine="602" w:firstLineChars="200"/>
        <w:jc w:val="both"/>
        <w:rPr>
          <w:rFonts w:ascii="Times New Roman" w:hAnsi="Times New Roman" w:cs="Times New Roman"/>
          <w:b/>
          <w:bCs/>
          <w:kern w:val="2"/>
          <w:sz w:val="30"/>
          <w:szCs w:val="30"/>
          <w:lang w:val="en-US" w:bidi="ar-SA"/>
        </w:rPr>
      </w:pPr>
      <w:r>
        <w:rPr>
          <w:rFonts w:ascii="Times New Roman" w:hAnsi="Times New Roman" w:cs="Times New Roman"/>
          <w:b/>
          <w:bCs/>
          <w:kern w:val="2"/>
          <w:sz w:val="30"/>
          <w:szCs w:val="30"/>
          <w:lang w:val="en-US" w:bidi="ar-SA"/>
        </w:rPr>
        <w:t>（一）</w:t>
      </w:r>
      <w:r>
        <w:rPr>
          <w:rFonts w:hint="eastAsia" w:ascii="Times New Roman" w:hAnsi="Times New Roman" w:cs="Times New Roman"/>
          <w:b/>
          <w:bCs/>
          <w:kern w:val="2"/>
          <w:sz w:val="30"/>
          <w:szCs w:val="30"/>
          <w:lang w:val="en-US" w:bidi="ar-SA"/>
        </w:rPr>
        <w:t>A采购单</w:t>
      </w:r>
      <w:r>
        <w:rPr>
          <w:rFonts w:ascii="Times New Roman" w:hAnsi="Times New Roman" w:cs="Times New Roman"/>
          <w:b/>
          <w:bCs/>
          <w:kern w:val="2"/>
          <w:sz w:val="30"/>
          <w:szCs w:val="30"/>
          <w:lang w:val="en-US" w:bidi="ar-SA"/>
        </w:rPr>
        <w:t>拟中选企业确定规则</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符合以下条件</w:t>
      </w:r>
      <w:r>
        <w:rPr>
          <w:rFonts w:hint="eastAsia" w:ascii="Times New Roman" w:hAnsi="Times New Roman" w:cs="Times New Roman"/>
          <w:kern w:val="2"/>
          <w:sz w:val="30"/>
          <w:szCs w:val="30"/>
          <w:lang w:val="en-US" w:eastAsia="zh-CN" w:bidi="ar-SA"/>
        </w:rPr>
        <w:t>之一</w:t>
      </w:r>
      <w:r>
        <w:rPr>
          <w:rFonts w:hint="eastAsia" w:ascii="Times New Roman" w:hAnsi="Times New Roman" w:cs="Times New Roman"/>
          <w:kern w:val="2"/>
          <w:sz w:val="30"/>
          <w:szCs w:val="30"/>
          <w:lang w:val="en-US" w:bidi="ar-SA"/>
        </w:rPr>
        <w:t>的，获得拟中选资格：</w:t>
      </w:r>
    </w:p>
    <w:p>
      <w:pPr>
        <w:autoSpaceDE/>
        <w:autoSpaceDN/>
        <w:spacing w:line="60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1.</w:t>
      </w:r>
      <w:r>
        <w:rPr>
          <w:rFonts w:hint="eastAsia" w:ascii="Times New Roman" w:hAnsi="Times New Roman" w:cs="Times New Roman"/>
          <w:color w:val="000000" w:themeColor="text1"/>
          <w:kern w:val="2"/>
          <w:sz w:val="30"/>
          <w:szCs w:val="30"/>
          <w:lang w:val="en-US" w:bidi="ar-SA"/>
          <w14:textFill>
            <w14:solidFill>
              <w14:schemeClr w14:val="tx1"/>
            </w14:solidFill>
          </w14:textFill>
        </w:rPr>
        <w:t>“单位可比价”≤最高有效申报价</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w:t>
      </w:r>
      <w:r>
        <w:rPr>
          <w:rFonts w:hint="eastAsia" w:ascii="Times New Roman" w:hAnsi="Times New Roman" w:cs="Times New Roman"/>
          <w:color w:val="000000" w:themeColor="text1"/>
          <w:kern w:val="2"/>
          <w:sz w:val="30"/>
          <w:szCs w:val="30"/>
          <w:lang w:val="en-US" w:bidi="ar-SA"/>
          <w14:textFill>
            <w14:solidFill>
              <w14:schemeClr w14:val="tx1"/>
            </w14:solidFill>
          </w14:textFill>
        </w:rPr>
        <w:t>2家（含</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本数</w:t>
      </w:r>
      <w:r>
        <w:rPr>
          <w:rFonts w:hint="eastAsia" w:ascii="Times New Roman" w:hAnsi="Times New Roman" w:cs="Times New Roman"/>
          <w:color w:val="000000" w:themeColor="text1"/>
          <w:kern w:val="2"/>
          <w:sz w:val="30"/>
          <w:szCs w:val="30"/>
          <w:lang w:val="en-US" w:bidi="ar-SA"/>
          <w14:textFill>
            <w14:solidFill>
              <w14:schemeClr w14:val="tx1"/>
            </w14:solidFill>
          </w14:textFill>
        </w:rPr>
        <w:t>）以下的，不淘汰；</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3</w:t>
      </w:r>
      <w:r>
        <w:rPr>
          <w:rFonts w:hint="eastAsia" w:ascii="Times New Roman" w:hAnsi="Times New Roman" w:cs="Times New Roman"/>
          <w:color w:val="000000" w:themeColor="text1"/>
          <w:kern w:val="2"/>
          <w:sz w:val="30"/>
          <w:szCs w:val="30"/>
          <w:lang w:val="en-US" w:bidi="ar-SA"/>
          <w14:textFill>
            <w14:solidFill>
              <w14:schemeClr w14:val="tx1"/>
            </w14:solidFill>
          </w14:textFill>
        </w:rPr>
        <w:t>家（含</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本数</w:t>
      </w:r>
      <w:r>
        <w:rPr>
          <w:rFonts w:hint="eastAsia" w:ascii="Times New Roman" w:hAnsi="Times New Roman" w:cs="Times New Roman"/>
          <w:color w:val="000000" w:themeColor="text1"/>
          <w:kern w:val="2"/>
          <w:sz w:val="30"/>
          <w:szCs w:val="30"/>
          <w:lang w:val="en-US" w:bidi="ar-SA"/>
          <w14:textFill>
            <w14:solidFill>
              <w14:schemeClr w14:val="tx1"/>
            </w14:solidFill>
          </w14:textFill>
        </w:rPr>
        <w:t>）以上的按“单位可比价”从高到低依次顺位排序，淘汰“单位可比价”最高的1家企业。</w:t>
      </w:r>
    </w:p>
    <w:p>
      <w:pPr>
        <w:autoSpaceDE/>
        <w:autoSpaceDN/>
        <w:spacing w:line="600" w:lineRule="exact"/>
        <w:ind w:firstLine="600" w:firstLineChars="200"/>
        <w:jc w:val="both"/>
        <w:rPr>
          <w:rFonts w:hint="eastAsia" w:ascii="Times New Roman" w:hAnsi="Times New Roman" w:eastAsia="仿宋" w:cs="Times New Roman"/>
          <w:color w:val="auto"/>
          <w:kern w:val="2"/>
          <w:sz w:val="30"/>
          <w:szCs w:val="30"/>
          <w:lang w:val="en-US" w:eastAsia="zh-CN" w:bidi="ar-SA"/>
        </w:rPr>
      </w:pPr>
      <w:r>
        <w:rPr>
          <w:rFonts w:hint="eastAsia" w:ascii="Times New Roman" w:hAnsi="Times New Roman" w:cs="Times New Roman"/>
          <w:kern w:val="2"/>
          <w:sz w:val="30"/>
          <w:szCs w:val="30"/>
          <w:lang w:val="en-US" w:eastAsia="zh-CN" w:bidi="ar-SA"/>
        </w:rPr>
        <w:t>2.根</w:t>
      </w:r>
      <w:r>
        <w:rPr>
          <w:rFonts w:hint="eastAsia" w:ascii="Times New Roman" w:hAnsi="Times New Roman" w:cs="Times New Roman"/>
          <w:color w:val="auto"/>
          <w:kern w:val="2"/>
          <w:sz w:val="30"/>
          <w:szCs w:val="30"/>
          <w:lang w:val="en-US" w:eastAsia="zh-CN" w:bidi="ar-SA"/>
        </w:rPr>
        <w:t>据上述第1点的拟中选结果，附表1同序号</w:t>
      </w:r>
      <w:r>
        <w:rPr>
          <w:rFonts w:hint="eastAsia" w:ascii="Times New Roman" w:hAnsi="Times New Roman" w:cs="Times New Roman"/>
          <w:color w:val="auto"/>
          <w:kern w:val="2"/>
          <w:sz w:val="30"/>
          <w:szCs w:val="30"/>
          <w:lang w:val="en-US" w:bidi="ar-SA"/>
        </w:rPr>
        <w:t>口腔崩解片的</w:t>
      </w:r>
      <w:r>
        <w:rPr>
          <w:rFonts w:hint="eastAsia" w:ascii="Times New Roman" w:hAnsi="Times New Roman" w:cs="Times New Roman"/>
          <w:color w:val="auto"/>
          <w:kern w:val="2"/>
          <w:sz w:val="30"/>
          <w:szCs w:val="30"/>
          <w:lang w:val="en-US" w:eastAsia="zh-CN" w:bidi="ar-SA"/>
        </w:rPr>
        <w:t>拟中选价格（或报价）</w:t>
      </w:r>
      <w:r>
        <w:rPr>
          <w:rFonts w:hint="eastAsia" w:ascii="Times New Roman" w:hAnsi="Times New Roman" w:cs="Times New Roman"/>
          <w:color w:val="auto"/>
          <w:kern w:val="2"/>
          <w:sz w:val="30"/>
          <w:szCs w:val="30"/>
          <w:lang w:val="en-US" w:bidi="ar-SA"/>
        </w:rPr>
        <w:t>不高于本企业</w:t>
      </w:r>
      <w:r>
        <w:rPr>
          <w:rFonts w:hint="eastAsia" w:ascii="Times New Roman" w:hAnsi="Times New Roman" w:cs="Times New Roman"/>
          <w:color w:val="auto"/>
          <w:kern w:val="2"/>
          <w:sz w:val="30"/>
          <w:szCs w:val="30"/>
          <w:lang w:val="en-US" w:eastAsia="zh-CN" w:bidi="ar-SA"/>
        </w:rPr>
        <w:t>同品种</w:t>
      </w:r>
      <w:r>
        <w:rPr>
          <w:rFonts w:hint="eastAsia" w:ascii="Times New Roman" w:hAnsi="Times New Roman" w:cs="Times New Roman"/>
          <w:color w:val="auto"/>
          <w:kern w:val="2"/>
          <w:sz w:val="30"/>
          <w:szCs w:val="30"/>
          <w:lang w:val="en-US" w:bidi="ar-SA"/>
        </w:rPr>
        <w:t>口服常释剂型拟中选价格的1.8倍；不同企业口腔崩解片的</w:t>
      </w:r>
      <w:r>
        <w:rPr>
          <w:rFonts w:hint="eastAsia" w:ascii="Times New Roman" w:hAnsi="Times New Roman" w:cs="Times New Roman"/>
          <w:color w:val="auto"/>
          <w:kern w:val="2"/>
          <w:sz w:val="30"/>
          <w:szCs w:val="30"/>
          <w:lang w:val="en-US" w:eastAsia="zh-CN" w:bidi="ar-SA"/>
        </w:rPr>
        <w:t>拟中选价格（或报价）</w:t>
      </w:r>
      <w:r>
        <w:rPr>
          <w:rFonts w:hint="eastAsia" w:ascii="Times New Roman" w:hAnsi="Times New Roman" w:cs="Times New Roman"/>
          <w:color w:val="auto"/>
          <w:kern w:val="2"/>
          <w:sz w:val="30"/>
          <w:szCs w:val="30"/>
          <w:lang w:val="en-US" w:bidi="ar-SA"/>
        </w:rPr>
        <w:t>不高于口服常释剂型最低拟中选价格</w:t>
      </w:r>
      <w:r>
        <w:rPr>
          <w:rFonts w:hint="eastAsia" w:ascii="Times New Roman" w:hAnsi="Times New Roman" w:cs="Times New Roman"/>
          <w:color w:val="auto"/>
          <w:kern w:val="2"/>
          <w:sz w:val="30"/>
          <w:szCs w:val="30"/>
          <w:lang w:val="en-US" w:eastAsia="zh-CN" w:bidi="ar-SA"/>
        </w:rPr>
        <w:t>的</w:t>
      </w:r>
      <w:r>
        <w:rPr>
          <w:rFonts w:hint="eastAsia" w:ascii="Times New Roman" w:hAnsi="Times New Roman" w:cs="Times New Roman"/>
          <w:color w:val="auto"/>
          <w:kern w:val="2"/>
          <w:sz w:val="30"/>
          <w:szCs w:val="30"/>
          <w:lang w:val="en-US" w:bidi="ar-SA"/>
        </w:rPr>
        <w:t>1.8倍</w:t>
      </w:r>
      <w:r>
        <w:rPr>
          <w:rFonts w:hint="eastAsia" w:ascii="Times New Roman" w:hAnsi="Times New Roman" w:cs="Times New Roman"/>
          <w:color w:val="auto"/>
          <w:kern w:val="2"/>
          <w:sz w:val="30"/>
          <w:szCs w:val="30"/>
          <w:lang w:val="en-US" w:eastAsia="zh-CN" w:bidi="ar-SA"/>
        </w:rPr>
        <w:t>。</w:t>
      </w:r>
    </w:p>
    <w:p>
      <w:pPr>
        <w:autoSpaceDE/>
        <w:autoSpaceDN/>
        <w:spacing w:line="600" w:lineRule="exact"/>
        <w:ind w:firstLine="600" w:firstLineChars="200"/>
        <w:jc w:val="both"/>
        <w:rPr>
          <w:rFonts w:hint="eastAsia" w:ascii="Times New Roman" w:hAnsi="Times New Roman" w:eastAsia="仿宋" w:cs="Times New Roman"/>
          <w:color w:val="auto"/>
          <w:kern w:val="2"/>
          <w:sz w:val="30"/>
          <w:szCs w:val="30"/>
          <w:lang w:val="en-US" w:eastAsia="zh-CN" w:bidi="ar-SA"/>
        </w:rPr>
      </w:pPr>
      <w:r>
        <w:rPr>
          <w:rFonts w:hint="eastAsia" w:ascii="Times New Roman" w:hAnsi="Times New Roman" w:cs="Times New Roman"/>
          <w:color w:val="auto"/>
          <w:kern w:val="2"/>
          <w:sz w:val="30"/>
          <w:szCs w:val="30"/>
          <w:lang w:val="en-US" w:eastAsia="zh-CN" w:bidi="ar-SA"/>
        </w:rPr>
        <w:t>3.根据上述第1点的拟中选结果，附表1同序号</w:t>
      </w:r>
      <w:r>
        <w:rPr>
          <w:rFonts w:hint="eastAsia" w:ascii="Times New Roman" w:hAnsi="Times New Roman" w:cs="Times New Roman"/>
          <w:color w:val="auto"/>
          <w:kern w:val="2"/>
          <w:sz w:val="30"/>
          <w:szCs w:val="30"/>
          <w:lang w:val="en-US" w:bidi="ar-SA"/>
        </w:rPr>
        <w:t>颗粒剂、口服混悬剂、口服溶液剂的</w:t>
      </w:r>
      <w:r>
        <w:rPr>
          <w:rFonts w:hint="eastAsia" w:ascii="Times New Roman" w:hAnsi="Times New Roman" w:cs="Times New Roman"/>
          <w:color w:val="auto"/>
          <w:kern w:val="2"/>
          <w:sz w:val="30"/>
          <w:szCs w:val="30"/>
          <w:lang w:val="en-US" w:eastAsia="zh-CN" w:bidi="ar-SA"/>
        </w:rPr>
        <w:t>“单位可比价”</w:t>
      </w:r>
      <w:r>
        <w:rPr>
          <w:rFonts w:hint="eastAsia" w:ascii="Times New Roman" w:hAnsi="Times New Roman" w:cs="Times New Roman"/>
          <w:color w:val="auto"/>
          <w:kern w:val="2"/>
          <w:sz w:val="30"/>
          <w:szCs w:val="30"/>
          <w:lang w:val="en-US" w:bidi="ar-SA"/>
        </w:rPr>
        <w:t>不高于不同企业</w:t>
      </w:r>
      <w:r>
        <w:rPr>
          <w:rFonts w:hint="eastAsia" w:ascii="Times New Roman" w:hAnsi="Times New Roman" w:cs="Times New Roman"/>
          <w:color w:val="auto"/>
          <w:kern w:val="2"/>
          <w:sz w:val="30"/>
          <w:szCs w:val="30"/>
          <w:lang w:val="en-US" w:eastAsia="zh-CN" w:bidi="ar-SA"/>
        </w:rPr>
        <w:t>同品种</w:t>
      </w:r>
      <w:r>
        <w:rPr>
          <w:rFonts w:hint="eastAsia" w:ascii="Times New Roman" w:hAnsi="Times New Roman" w:cs="Times New Roman"/>
          <w:color w:val="auto"/>
          <w:kern w:val="2"/>
          <w:sz w:val="30"/>
          <w:szCs w:val="30"/>
          <w:lang w:val="en-US" w:bidi="ar-SA"/>
        </w:rPr>
        <w:t>口服常释剂型最高拟中选价格</w:t>
      </w:r>
      <w:r>
        <w:rPr>
          <w:rFonts w:hint="eastAsia" w:ascii="Times New Roman" w:hAnsi="Times New Roman" w:cs="Times New Roman"/>
          <w:color w:val="auto"/>
          <w:kern w:val="2"/>
          <w:sz w:val="30"/>
          <w:szCs w:val="30"/>
          <w:lang w:val="en-US" w:eastAsia="zh-CN" w:bidi="ar-SA"/>
        </w:rPr>
        <w:t>。</w:t>
      </w:r>
    </w:p>
    <w:p>
      <w:pPr>
        <w:autoSpaceDE/>
        <w:autoSpaceDN/>
        <w:spacing w:line="600" w:lineRule="exact"/>
        <w:ind w:firstLine="600" w:firstLineChars="200"/>
        <w:jc w:val="both"/>
        <w:rPr>
          <w:rFonts w:ascii="Times New Roman" w:hAnsi="Times New Roman"/>
          <w:kern w:val="2"/>
          <w:sz w:val="30"/>
          <w:szCs w:val="30"/>
        </w:rPr>
      </w:pP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4.</w:t>
      </w:r>
      <w:r>
        <w:rPr>
          <w:rFonts w:hint="eastAsia" w:ascii="Times New Roman" w:hAnsi="Times New Roman" w:cs="Times New Roman"/>
          <w:color w:val="auto"/>
          <w:kern w:val="2"/>
          <w:sz w:val="30"/>
          <w:szCs w:val="30"/>
          <w:lang w:val="en-US" w:bidi="ar-SA"/>
        </w:rPr>
        <w:t>申报</w:t>
      </w:r>
      <w:r>
        <w:rPr>
          <w:rFonts w:hint="eastAsia" w:ascii="Times New Roman" w:hAnsi="Times New Roman" w:cs="Times New Roman"/>
          <w:color w:val="auto"/>
          <w:kern w:val="2"/>
          <w:sz w:val="30"/>
          <w:szCs w:val="30"/>
          <w:highlight w:val="none"/>
          <w:lang w:val="en-US" w:bidi="ar-SA"/>
        </w:rPr>
        <w:t>品规报价降幅≥</w:t>
      </w:r>
      <w:r>
        <w:rPr>
          <w:rFonts w:hint="eastAsia" w:ascii="Times New Roman" w:hAnsi="Times New Roman" w:cs="Times New Roman"/>
          <w:color w:val="000000" w:themeColor="text1"/>
          <w:kern w:val="2"/>
          <w:sz w:val="30"/>
          <w:szCs w:val="30"/>
          <w:highlight w:val="none"/>
          <w:lang w:val="en-US" w:eastAsia="zh-CN" w:bidi="ar-SA"/>
          <w14:textFill>
            <w14:solidFill>
              <w14:schemeClr w14:val="tx1"/>
            </w14:solidFill>
          </w14:textFill>
        </w:rPr>
        <w:t>？</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w:t>
      </w:r>
      <w:r>
        <w:rPr>
          <w:rFonts w:hint="eastAsia" w:ascii="Times New Roman" w:hAnsi="Times New Roman" w:cs="Times New Roman"/>
          <w:color w:val="000000" w:themeColor="text1"/>
          <w:kern w:val="2"/>
          <w:sz w:val="30"/>
          <w:szCs w:val="30"/>
          <w:highlight w:val="none"/>
          <w:lang w:val="en-US" w:eastAsia="zh-CN" w:bidi="ar-SA"/>
          <w14:textFill>
            <w14:solidFill>
              <w14:schemeClr w14:val="tx1"/>
            </w14:solidFill>
          </w14:textFill>
        </w:rPr>
        <w:t>（</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以附表</w:t>
      </w:r>
      <w:r>
        <w:rPr>
          <w:rFonts w:hint="eastAsia" w:ascii="Times New Roman" w:hAnsi="Times New Roman" w:cs="Times New Roman"/>
          <w:color w:val="000000" w:themeColor="text1"/>
          <w:kern w:val="2"/>
          <w:sz w:val="30"/>
          <w:szCs w:val="30"/>
          <w:highlight w:val="none"/>
          <w:lang w:val="en-US" w:eastAsia="zh-CN" w:bidi="ar-SA"/>
          <w14:textFill>
            <w14:solidFill>
              <w14:schemeClr w14:val="tx1"/>
            </w14:solidFill>
          </w14:textFill>
        </w:rPr>
        <w:t>？</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对应规格最</w:t>
      </w:r>
      <w:r>
        <w:rPr>
          <w:rFonts w:ascii="Times New Roman" w:hAnsi="Times New Roman" w:cs="Times New Roman"/>
          <w:color w:val="000000" w:themeColor="text1"/>
          <w:kern w:val="2"/>
          <w:sz w:val="30"/>
          <w:szCs w:val="30"/>
          <w:lang w:val="en-US" w:bidi="ar-SA"/>
          <w14:textFill>
            <w14:solidFill>
              <w14:schemeClr w14:val="tx1"/>
            </w14:solidFill>
          </w14:textFill>
        </w:rPr>
        <w:t>高有效申报价为基数进行计算</w:t>
      </w:r>
      <w:r>
        <w:rPr>
          <w:rFonts w:hint="eastAsia" w:ascii="Times New Roman" w:hAnsi="Times New Roman" w:cs="Times New Roman"/>
          <w:color w:val="000000" w:themeColor="text1"/>
          <w:kern w:val="2"/>
          <w:sz w:val="30"/>
          <w:szCs w:val="30"/>
          <w:lang w:val="en-US" w:bidi="ar-SA"/>
          <w14:textFill>
            <w14:solidFill>
              <w14:schemeClr w14:val="tx1"/>
            </w14:solidFill>
          </w14:textFill>
        </w:rPr>
        <w:t>，</w:t>
      </w:r>
      <w:r>
        <w:rPr>
          <w:rFonts w:ascii="Times New Roman" w:hAnsi="Times New Roman" w:cs="Times New Roman"/>
          <w:color w:val="000000" w:themeColor="text1"/>
          <w:kern w:val="2"/>
          <w:sz w:val="30"/>
          <w:szCs w:val="30"/>
          <w:lang w:val="en-US" w:bidi="ar-SA"/>
          <w14:textFill>
            <w14:solidFill>
              <w14:schemeClr w14:val="tx1"/>
            </w14:solidFill>
          </w14:textFill>
        </w:rPr>
        <w:t>降幅以百分比计，四舍五入保留百分比小数点后2位</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w:t>
      </w:r>
      <w:r>
        <w:rPr>
          <w:rFonts w:ascii="Times New Roman" w:hAnsi="Times New Roman" w:cs="Times New Roman"/>
          <w:color w:val="000000" w:themeColor="text1"/>
          <w:kern w:val="2"/>
          <w:sz w:val="30"/>
          <w:szCs w:val="30"/>
          <w:lang w:val="en-US" w:bidi="ar-SA"/>
          <w14:textFill>
            <w14:solidFill>
              <w14:schemeClr w14:val="tx1"/>
            </w14:solidFill>
          </w14:textFill>
        </w:rPr>
        <w:t>。</w:t>
      </w:r>
    </w:p>
    <w:p>
      <w:pPr>
        <w:autoSpaceDE/>
        <w:autoSpaceDN/>
        <w:spacing w:line="600" w:lineRule="exact"/>
        <w:ind w:firstLine="600" w:firstLineChars="200"/>
        <w:jc w:val="both"/>
        <w:rPr>
          <w:rFonts w:hint="eastAsia" w:ascii="Times New Roman" w:hAnsi="Times New Roman" w:eastAsia="仿宋" w:cs="Times New Roman"/>
          <w:kern w:val="2"/>
          <w:sz w:val="30"/>
          <w:szCs w:val="30"/>
          <w:lang w:val="en-US" w:eastAsia="zh-CN" w:bidi="ar-SA"/>
        </w:rPr>
      </w:pPr>
      <w:r>
        <w:rPr>
          <w:rFonts w:hint="eastAsia" w:ascii="Times New Roman" w:hAnsi="Times New Roman" w:cs="Times New Roman"/>
          <w:kern w:val="2"/>
          <w:sz w:val="30"/>
          <w:szCs w:val="30"/>
          <w:lang w:val="en-US" w:eastAsia="zh-CN" w:bidi="ar-SA"/>
        </w:rPr>
        <w:t>5.</w:t>
      </w:r>
      <w:r>
        <w:rPr>
          <w:rFonts w:hint="eastAsia" w:ascii="Times New Roman" w:hAnsi="Times New Roman" w:cs="Times New Roman"/>
          <w:kern w:val="2"/>
          <w:sz w:val="30"/>
          <w:szCs w:val="30"/>
          <w:lang w:val="en-US" w:bidi="ar-SA"/>
        </w:rPr>
        <w:t>不同通用名药品合并竞价的，按日平均治疗费用相同的原则计算价格（日平均治疗费用=申报</w:t>
      </w:r>
      <w:r>
        <w:rPr>
          <w:rFonts w:ascii="Times New Roman" w:hAnsi="Times New Roman" w:cs="Times New Roman"/>
          <w:kern w:val="2"/>
          <w:sz w:val="30"/>
          <w:szCs w:val="30"/>
          <w:lang w:val="en-US" w:bidi="ar-SA"/>
        </w:rPr>
        <w:t>品规</w:t>
      </w:r>
      <w:r>
        <w:rPr>
          <w:rFonts w:hint="eastAsia" w:ascii="Times New Roman" w:hAnsi="Times New Roman" w:cs="Times New Roman"/>
          <w:kern w:val="2"/>
          <w:sz w:val="30"/>
          <w:szCs w:val="30"/>
          <w:lang w:val="en-US" w:bidi="ar-SA"/>
        </w:rPr>
        <w:t>的价格×申报品规的日治疗量）</w:t>
      </w:r>
      <w:r>
        <w:rPr>
          <w:rFonts w:hint="eastAsia" w:ascii="Times New Roman" w:hAnsi="Times New Roman" w:cs="Times New Roman"/>
          <w:kern w:val="2"/>
          <w:sz w:val="30"/>
          <w:szCs w:val="30"/>
          <w:lang w:val="en-US" w:eastAsia="zh-CN" w:bidi="ar-SA"/>
        </w:rPr>
        <w:t>，</w:t>
      </w:r>
      <w:r>
        <w:rPr>
          <w:rFonts w:hint="eastAsia" w:ascii="Times New Roman" w:hAnsi="Times New Roman" w:cs="Times New Roman"/>
          <w:kern w:val="2"/>
          <w:sz w:val="30"/>
          <w:szCs w:val="30"/>
          <w:lang w:val="en-US" w:bidi="ar-SA"/>
        </w:rPr>
        <w:t>不同品种的日平均治疗费用≤</w:t>
      </w:r>
      <w:r>
        <w:rPr>
          <w:rFonts w:hint="eastAsia" w:ascii="Times New Roman" w:hAnsi="Times New Roman" w:cs="Times New Roman"/>
          <w:kern w:val="2"/>
          <w:sz w:val="30"/>
          <w:szCs w:val="30"/>
          <w:lang w:val="en-US" w:eastAsia="zh-CN" w:bidi="ar-SA"/>
        </w:rPr>
        <w:t>设定的最高</w:t>
      </w:r>
      <w:r>
        <w:rPr>
          <w:rFonts w:hint="eastAsia" w:ascii="Times New Roman" w:hAnsi="Times New Roman" w:cs="Times New Roman"/>
          <w:kern w:val="2"/>
          <w:sz w:val="30"/>
          <w:szCs w:val="30"/>
          <w:lang w:val="en-US" w:bidi="ar-SA"/>
        </w:rPr>
        <w:t>日平均治疗费用</w:t>
      </w:r>
      <w:r>
        <w:rPr>
          <w:rFonts w:hint="eastAsia" w:ascii="Times New Roman" w:hAnsi="Times New Roman" w:cs="Times New Roman"/>
          <w:kern w:val="2"/>
          <w:sz w:val="30"/>
          <w:szCs w:val="30"/>
          <w:lang w:val="en-US" w:eastAsia="zh-CN" w:bidi="ar-SA"/>
        </w:rPr>
        <w:t>。</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eastAsia="zh-CN" w:bidi="ar-SA"/>
        </w:rPr>
        <w:t>6.</w:t>
      </w:r>
      <w:r>
        <w:rPr>
          <w:rFonts w:hint="eastAsia" w:ascii="Times New Roman" w:hAnsi="Times New Roman" w:cs="Times New Roman"/>
          <w:kern w:val="2"/>
          <w:sz w:val="30"/>
          <w:szCs w:val="30"/>
          <w:lang w:val="en-US" w:bidi="ar-SA"/>
        </w:rPr>
        <w:t>“单位可比价”≤0.1000元。</w:t>
      </w:r>
    </w:p>
    <w:p>
      <w:pPr>
        <w:autoSpaceDE/>
        <w:autoSpaceDN/>
        <w:spacing w:line="600" w:lineRule="exact"/>
        <w:ind w:firstLine="602" w:firstLineChars="200"/>
        <w:jc w:val="both"/>
        <w:rPr>
          <w:rFonts w:ascii="Times New Roman" w:hAnsi="Times New Roman" w:cs="Times New Roman"/>
          <w:b/>
          <w:bCs/>
          <w:kern w:val="2"/>
          <w:sz w:val="30"/>
          <w:szCs w:val="30"/>
          <w:lang w:val="en-US" w:bidi="ar-SA"/>
        </w:rPr>
      </w:pPr>
      <w:r>
        <w:rPr>
          <w:rFonts w:hint="eastAsia" w:ascii="Times New Roman" w:hAnsi="Times New Roman" w:cs="Times New Roman"/>
          <w:b/>
          <w:bCs/>
          <w:kern w:val="2"/>
          <w:sz w:val="30"/>
          <w:szCs w:val="30"/>
          <w:lang w:val="en-US" w:bidi="ar-SA"/>
        </w:rPr>
        <w:t>（二）B采购单拟中选企业确定规则</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符合以下条件</w:t>
      </w:r>
      <w:r>
        <w:rPr>
          <w:rFonts w:hint="eastAsia" w:ascii="Times New Roman" w:hAnsi="Times New Roman" w:cs="Times New Roman"/>
          <w:kern w:val="2"/>
          <w:sz w:val="30"/>
          <w:szCs w:val="30"/>
          <w:lang w:val="en-US" w:eastAsia="zh-CN" w:bidi="ar-SA"/>
        </w:rPr>
        <w:t>之一</w:t>
      </w:r>
      <w:r>
        <w:rPr>
          <w:rFonts w:hint="eastAsia" w:ascii="Times New Roman" w:hAnsi="Times New Roman" w:cs="Times New Roman"/>
          <w:kern w:val="2"/>
          <w:sz w:val="30"/>
          <w:szCs w:val="30"/>
          <w:lang w:val="en-US" w:bidi="ar-SA"/>
        </w:rPr>
        <w:t>的，获得拟中选资格：</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eastAsia="zh-CN" w:bidi="ar-SA"/>
        </w:rPr>
        <w:t>1.</w:t>
      </w:r>
      <w:r>
        <w:rPr>
          <w:rFonts w:hint="eastAsia" w:ascii="Times New Roman" w:hAnsi="Times New Roman" w:cs="Times New Roman"/>
          <w:kern w:val="2"/>
          <w:sz w:val="30"/>
          <w:szCs w:val="30"/>
          <w:lang w:val="en-US" w:bidi="ar-SA"/>
        </w:rPr>
        <w:t>过评B采购单中，按“单位可比价”由低到高确定依次顺位排序</w:t>
      </w:r>
      <w:r>
        <w:rPr>
          <w:rFonts w:hint="eastAsia" w:ascii="Times New Roman" w:hAnsi="Times New Roman" w:cs="Times New Roman"/>
          <w:kern w:val="2"/>
          <w:sz w:val="30"/>
          <w:szCs w:val="30"/>
          <w:lang w:val="en-US" w:eastAsia="zh-CN" w:bidi="ar-SA"/>
        </w:rPr>
        <w:t>，</w:t>
      </w:r>
      <w:r>
        <w:rPr>
          <w:rFonts w:hint="eastAsia" w:ascii="Times New Roman" w:hAnsi="Times New Roman" w:cs="Times New Roman"/>
          <w:kern w:val="2"/>
          <w:sz w:val="30"/>
          <w:szCs w:val="30"/>
          <w:lang w:val="en-US" w:bidi="ar-SA"/>
        </w:rPr>
        <w:t>前</w:t>
      </w:r>
      <w:r>
        <w:rPr>
          <w:rFonts w:hint="eastAsia" w:ascii="Times New Roman" w:hAnsi="Times New Roman" w:cs="Times New Roman"/>
          <w:kern w:val="2"/>
          <w:sz w:val="30"/>
          <w:szCs w:val="30"/>
          <w:lang w:val="en-US" w:eastAsia="zh-CN" w:bidi="ar-SA"/>
        </w:rPr>
        <w:t>？</w:t>
      </w:r>
      <w:r>
        <w:rPr>
          <w:rFonts w:hint="eastAsia" w:ascii="Times New Roman" w:hAnsi="Times New Roman" w:cs="Times New Roman"/>
          <w:kern w:val="2"/>
          <w:sz w:val="30"/>
          <w:szCs w:val="30"/>
          <w:lang w:val="en-US" w:bidi="ar-SA"/>
        </w:rPr>
        <w:t>%比例（四舍五入保留个位）的企业获得拟中选资格</w:t>
      </w:r>
      <w:r>
        <w:rPr>
          <w:rFonts w:hint="eastAsia" w:ascii="Times New Roman" w:hAnsi="Times New Roman" w:cs="Times New Roman"/>
          <w:kern w:val="2"/>
          <w:sz w:val="30"/>
          <w:szCs w:val="30"/>
          <w:lang w:val="en-US" w:eastAsia="zh-CN" w:bidi="ar-SA"/>
        </w:rPr>
        <w:t>，</w:t>
      </w:r>
      <w:r>
        <w:rPr>
          <w:rFonts w:hint="eastAsia" w:ascii="Times New Roman" w:hAnsi="Times New Roman" w:cs="Times New Roman"/>
          <w:kern w:val="2"/>
          <w:sz w:val="30"/>
          <w:szCs w:val="30"/>
          <w:lang w:val="en-US" w:bidi="ar-SA"/>
        </w:rPr>
        <w:t>最多入围企业数量为6家。</w:t>
      </w:r>
    </w:p>
    <w:p>
      <w:pPr>
        <w:autoSpaceDE/>
        <w:autoSpaceDN/>
        <w:spacing w:line="600" w:lineRule="exact"/>
        <w:ind w:firstLine="600" w:firstLineChars="200"/>
        <w:jc w:val="both"/>
        <w:rPr>
          <w:rFonts w:hint="eastAsia"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eastAsia="zh-CN" w:bidi="ar-SA"/>
        </w:rPr>
        <w:t>2.</w:t>
      </w:r>
      <w:r>
        <w:rPr>
          <w:rFonts w:hint="eastAsia" w:ascii="Times New Roman" w:hAnsi="Times New Roman" w:cs="Times New Roman"/>
          <w:kern w:val="2"/>
          <w:sz w:val="30"/>
          <w:szCs w:val="30"/>
          <w:lang w:val="en-US" w:bidi="ar-SA"/>
        </w:rPr>
        <w:t>非过评B采购单中，按“单位可比价”由低到高确定依次顺位排序</w:t>
      </w:r>
      <w:r>
        <w:rPr>
          <w:rFonts w:hint="eastAsia" w:ascii="Times New Roman" w:hAnsi="Times New Roman" w:cs="Times New Roman"/>
          <w:kern w:val="2"/>
          <w:sz w:val="30"/>
          <w:szCs w:val="30"/>
          <w:lang w:val="en-US" w:eastAsia="zh-CN" w:bidi="ar-SA"/>
        </w:rPr>
        <w:t>，</w:t>
      </w:r>
      <w:r>
        <w:rPr>
          <w:rFonts w:hint="eastAsia" w:ascii="Times New Roman" w:hAnsi="Times New Roman" w:cs="Times New Roman"/>
          <w:kern w:val="2"/>
          <w:sz w:val="30"/>
          <w:szCs w:val="30"/>
          <w:lang w:val="en-US" w:bidi="ar-SA"/>
        </w:rPr>
        <w:t>前</w:t>
      </w:r>
      <w:r>
        <w:rPr>
          <w:rFonts w:hint="eastAsia" w:ascii="Times New Roman" w:hAnsi="Times New Roman" w:cs="Times New Roman"/>
          <w:kern w:val="2"/>
          <w:sz w:val="30"/>
          <w:szCs w:val="30"/>
          <w:lang w:val="en-US" w:eastAsia="zh-CN" w:bidi="ar-SA"/>
        </w:rPr>
        <w:t>？</w:t>
      </w:r>
      <w:r>
        <w:rPr>
          <w:rFonts w:hint="eastAsia" w:ascii="Times New Roman" w:hAnsi="Times New Roman" w:cs="Times New Roman"/>
          <w:kern w:val="2"/>
          <w:sz w:val="30"/>
          <w:szCs w:val="30"/>
          <w:lang w:val="en-US" w:bidi="ar-SA"/>
        </w:rPr>
        <w:t>%比例（四舍五入保留个位）的企业获得拟中选资格，且非过评的“单位可比价”须低于过评A/B采购单最低拟中选价格两者之间的低值；若非过评B采购单仅有1家且符合上述条件的，获得拟中选资格；最多入围企业数量为6家。</w:t>
      </w:r>
    </w:p>
    <w:p>
      <w:pPr>
        <w:autoSpaceDE/>
        <w:autoSpaceDN/>
        <w:spacing w:line="600" w:lineRule="exact"/>
        <w:ind w:firstLine="600" w:firstLineChars="200"/>
        <w:jc w:val="both"/>
        <w:rPr>
          <w:rFonts w:hint="eastAsia" w:ascii="Times New Roman" w:hAnsi="Times New Roman" w:cs="Times New Roman"/>
          <w:kern w:val="2"/>
          <w:sz w:val="30"/>
          <w:szCs w:val="30"/>
          <w:lang w:val="en-US" w:eastAsia="zh-CN" w:bidi="ar-SA"/>
        </w:rPr>
      </w:pPr>
      <w:r>
        <w:rPr>
          <w:rFonts w:hint="eastAsia" w:ascii="Times New Roman" w:hAnsi="Times New Roman" w:cs="Times New Roman"/>
          <w:kern w:val="2"/>
          <w:sz w:val="30"/>
          <w:szCs w:val="30"/>
          <w:lang w:val="en-US" w:eastAsia="zh-CN" w:bidi="ar-SA"/>
        </w:rPr>
        <w:t>根据上述第2点的拟中选结果，同品种不存在差比关系的其他剂型</w:t>
      </w:r>
      <w:r>
        <w:rPr>
          <w:rFonts w:hint="eastAsia" w:ascii="Times New Roman" w:hAnsi="Times New Roman" w:cs="Times New Roman"/>
          <w:kern w:val="2"/>
          <w:sz w:val="30"/>
          <w:szCs w:val="30"/>
          <w:lang w:val="en-US" w:bidi="ar-SA"/>
        </w:rPr>
        <w:t>符合以下</w:t>
      </w:r>
      <w:r>
        <w:rPr>
          <w:rFonts w:hint="eastAsia" w:ascii="Times New Roman" w:hAnsi="Times New Roman" w:cs="Times New Roman"/>
          <w:kern w:val="2"/>
          <w:sz w:val="30"/>
          <w:szCs w:val="30"/>
          <w:lang w:val="en-US" w:eastAsia="zh-CN" w:bidi="ar-SA"/>
        </w:rPr>
        <w:t>情形之一</w:t>
      </w:r>
      <w:r>
        <w:rPr>
          <w:rFonts w:hint="eastAsia" w:ascii="Times New Roman" w:hAnsi="Times New Roman" w:cs="Times New Roman"/>
          <w:kern w:val="2"/>
          <w:sz w:val="30"/>
          <w:szCs w:val="30"/>
          <w:lang w:val="en-US" w:bidi="ar-SA"/>
        </w:rPr>
        <w:t>的，获得拟中选资格</w:t>
      </w:r>
      <w:r>
        <w:rPr>
          <w:rFonts w:hint="eastAsia" w:ascii="Times New Roman" w:hAnsi="Times New Roman" w:cs="Times New Roman"/>
          <w:kern w:val="2"/>
          <w:sz w:val="30"/>
          <w:szCs w:val="30"/>
          <w:lang w:val="en-US" w:eastAsia="zh-CN" w:bidi="ar-SA"/>
        </w:rPr>
        <w:t>：</w:t>
      </w:r>
    </w:p>
    <w:p>
      <w:pPr>
        <w:numPr>
          <w:ilvl w:val="0"/>
          <w:numId w:val="3"/>
        </w:numPr>
        <w:autoSpaceDE/>
        <w:autoSpaceDN/>
        <w:spacing w:line="600" w:lineRule="exact"/>
        <w:ind w:left="60" w:leftChars="0" w:firstLine="600" w:firstLineChars="0"/>
        <w:jc w:val="both"/>
        <w:rPr>
          <w:rFonts w:hint="eastAsia" w:ascii="Times New Roman" w:hAnsi="Times New Roman" w:cs="Times New Roman"/>
          <w:color w:val="auto"/>
          <w:kern w:val="2"/>
          <w:sz w:val="30"/>
          <w:szCs w:val="30"/>
          <w:lang w:val="en-US" w:bidi="ar-SA"/>
        </w:rPr>
      </w:pPr>
      <w:r>
        <w:rPr>
          <w:rFonts w:hint="eastAsia" w:ascii="Times New Roman" w:hAnsi="Times New Roman" w:cs="Times New Roman"/>
          <w:color w:val="auto"/>
          <w:kern w:val="2"/>
          <w:sz w:val="30"/>
          <w:szCs w:val="30"/>
          <w:lang w:val="en-US" w:bidi="ar-SA"/>
        </w:rPr>
        <w:t>非过评口腔崩解片/滴丸剂的拟中选价格</w:t>
      </w:r>
      <w:r>
        <w:rPr>
          <w:rFonts w:hint="eastAsia" w:ascii="Times New Roman" w:hAnsi="Times New Roman" w:cs="Times New Roman"/>
          <w:color w:val="auto"/>
          <w:kern w:val="2"/>
          <w:sz w:val="30"/>
          <w:szCs w:val="30"/>
          <w:lang w:val="en-US" w:eastAsia="zh-CN" w:bidi="ar-SA"/>
        </w:rPr>
        <w:t>（或报价）</w:t>
      </w:r>
      <w:r>
        <w:rPr>
          <w:rFonts w:hint="eastAsia" w:ascii="Times New Roman" w:hAnsi="Times New Roman" w:cs="Times New Roman"/>
          <w:color w:val="auto"/>
          <w:kern w:val="2"/>
          <w:sz w:val="30"/>
          <w:szCs w:val="30"/>
          <w:lang w:val="en-US" w:bidi="ar-SA"/>
        </w:rPr>
        <w:t>低于过评A/B采购单口服常释剂型最低拟中选价格1.8倍且低于过评口腔崩解片/滴丸剂最低拟中选价格；</w:t>
      </w:r>
    </w:p>
    <w:p>
      <w:pPr>
        <w:numPr>
          <w:ilvl w:val="0"/>
          <w:numId w:val="3"/>
        </w:numPr>
        <w:autoSpaceDE/>
        <w:autoSpaceDN/>
        <w:spacing w:line="600" w:lineRule="exact"/>
        <w:ind w:left="60" w:leftChars="0" w:firstLine="600" w:firstLineChars="0"/>
        <w:jc w:val="both"/>
        <w:rPr>
          <w:rFonts w:hint="eastAsia" w:ascii="Times New Roman" w:hAnsi="Times New Roman" w:cs="Times New Roman"/>
          <w:color w:val="auto"/>
          <w:kern w:val="2"/>
          <w:sz w:val="30"/>
          <w:szCs w:val="30"/>
          <w:lang w:val="en-US" w:bidi="ar-SA"/>
        </w:rPr>
      </w:pPr>
      <w:r>
        <w:rPr>
          <w:rFonts w:hint="eastAsia" w:ascii="Times New Roman" w:hAnsi="Times New Roman" w:cs="Times New Roman"/>
          <w:color w:val="auto"/>
          <w:kern w:val="2"/>
          <w:sz w:val="30"/>
          <w:szCs w:val="30"/>
          <w:lang w:val="en-US" w:bidi="ar-SA"/>
        </w:rPr>
        <w:t>非过评膜剂的拟中选价格</w:t>
      </w:r>
      <w:r>
        <w:rPr>
          <w:rFonts w:hint="eastAsia" w:ascii="Times New Roman" w:hAnsi="Times New Roman" w:cs="Times New Roman"/>
          <w:color w:val="auto"/>
          <w:kern w:val="2"/>
          <w:sz w:val="30"/>
          <w:szCs w:val="30"/>
          <w:lang w:val="en-US" w:eastAsia="zh-CN" w:bidi="ar-SA"/>
        </w:rPr>
        <w:t>（或报价）</w:t>
      </w:r>
      <w:r>
        <w:rPr>
          <w:rFonts w:hint="eastAsia" w:ascii="Times New Roman" w:hAnsi="Times New Roman" w:cs="Times New Roman"/>
          <w:color w:val="auto"/>
          <w:kern w:val="2"/>
          <w:sz w:val="30"/>
          <w:szCs w:val="30"/>
          <w:lang w:val="en-US" w:bidi="ar-SA"/>
        </w:rPr>
        <w:t>低于过评A/B采购单口服常释剂型最低拟中选价格1.8倍且低于过评膜剂最低拟中选价格；</w:t>
      </w:r>
    </w:p>
    <w:p>
      <w:pPr>
        <w:numPr>
          <w:ilvl w:val="0"/>
          <w:numId w:val="3"/>
        </w:numPr>
        <w:autoSpaceDE/>
        <w:autoSpaceDN/>
        <w:spacing w:line="600" w:lineRule="exact"/>
        <w:ind w:left="60" w:leftChars="0" w:firstLine="600" w:firstLineChars="0"/>
        <w:jc w:val="both"/>
        <w:rPr>
          <w:rFonts w:hint="eastAsia" w:ascii="Times New Roman" w:hAnsi="Times New Roman" w:cs="Times New Roman"/>
          <w:color w:val="auto"/>
          <w:kern w:val="2"/>
          <w:sz w:val="30"/>
          <w:szCs w:val="30"/>
          <w:lang w:val="en-US" w:bidi="ar-SA"/>
        </w:rPr>
      </w:pPr>
      <w:r>
        <w:rPr>
          <w:rFonts w:hint="eastAsia" w:ascii="Times New Roman" w:hAnsi="Times New Roman" w:cs="Times New Roman"/>
          <w:color w:val="auto"/>
          <w:kern w:val="2"/>
          <w:sz w:val="30"/>
          <w:szCs w:val="30"/>
          <w:lang w:val="en-US" w:eastAsia="zh-CN" w:bidi="ar-SA"/>
        </w:rPr>
        <w:t>非过评</w:t>
      </w:r>
      <w:r>
        <w:rPr>
          <w:rFonts w:ascii="Times New Roman" w:hAnsi="Times New Roman" w:cs="Times New Roman"/>
          <w:color w:val="auto"/>
          <w:kern w:val="2"/>
          <w:sz w:val="30"/>
          <w:szCs w:val="30"/>
          <w:lang w:val="en-US" w:bidi="ar-SA"/>
        </w:rPr>
        <w:t>眼用凝胶</w:t>
      </w:r>
      <w:r>
        <w:rPr>
          <w:rFonts w:hint="eastAsia" w:ascii="Times New Roman" w:hAnsi="Times New Roman" w:cs="Times New Roman"/>
          <w:color w:val="auto"/>
          <w:kern w:val="2"/>
          <w:sz w:val="30"/>
          <w:szCs w:val="30"/>
          <w:lang w:val="en-US" w:eastAsia="zh-CN" w:bidi="ar-SA"/>
        </w:rPr>
        <w:t>的拟中选价格（或报价）</w:t>
      </w:r>
      <w:r>
        <w:rPr>
          <w:rFonts w:hint="eastAsia" w:ascii="Times New Roman" w:hAnsi="Times New Roman" w:cs="Times New Roman"/>
          <w:color w:val="auto"/>
          <w:kern w:val="2"/>
          <w:sz w:val="30"/>
          <w:szCs w:val="30"/>
          <w:lang w:val="en-US" w:bidi="ar-SA"/>
        </w:rPr>
        <w:t>低于过评A/B采购单滴眼液最低拟中选价格1.8倍且低于过评眼用凝胶最低拟中选价格；</w:t>
      </w:r>
    </w:p>
    <w:p>
      <w:pPr>
        <w:autoSpaceDE/>
        <w:autoSpaceDN/>
        <w:spacing w:line="600" w:lineRule="exact"/>
        <w:ind w:firstLine="600" w:firstLineChars="200"/>
        <w:jc w:val="both"/>
        <w:rPr>
          <w:rFonts w:hint="default" w:ascii="Times New Roman" w:hAnsi="Times New Roman" w:cs="Times New Roman"/>
          <w:kern w:val="2"/>
          <w:sz w:val="30"/>
          <w:szCs w:val="30"/>
          <w:lang w:val="en-US" w:eastAsia="zh-CN" w:bidi="ar-SA"/>
        </w:rPr>
      </w:pPr>
      <w:r>
        <w:rPr>
          <w:rFonts w:hint="eastAsia" w:ascii="Times New Roman" w:hAnsi="Times New Roman" w:cs="Times New Roman"/>
          <w:color w:val="auto"/>
          <w:kern w:val="2"/>
          <w:sz w:val="30"/>
          <w:szCs w:val="30"/>
          <w:lang w:val="en-US" w:eastAsia="zh-CN" w:bidi="ar-SA"/>
        </w:rPr>
        <w:t>（4）非过评口腔崩解片的拟中选价格（或报价）低于过评A/B采购单颗粒剂最低拟中选价格1.5倍且低于过评口腔崩解片最低拟中选价格；</w:t>
      </w:r>
    </w:p>
    <w:p>
      <w:pPr>
        <w:numPr>
          <w:ilvl w:val="0"/>
          <w:numId w:val="0"/>
        </w:numPr>
        <w:autoSpaceDE/>
        <w:autoSpaceDN/>
        <w:spacing w:line="600" w:lineRule="exact"/>
        <w:ind w:firstLine="600" w:firstLineChars="200"/>
        <w:jc w:val="both"/>
        <w:rPr>
          <w:rFonts w:hint="eastAsia" w:ascii="Times New Roman" w:hAnsi="Times New Roman" w:eastAsia="仿宋" w:cs="Times New Roman"/>
          <w:kern w:val="2"/>
          <w:sz w:val="30"/>
          <w:szCs w:val="30"/>
          <w:lang w:val="en-US" w:eastAsia="zh-CN" w:bidi="ar-SA"/>
        </w:rPr>
      </w:pPr>
      <w:r>
        <w:rPr>
          <w:rFonts w:hint="eastAsia" w:ascii="Times New Roman" w:hAnsi="Times New Roman" w:cs="Times New Roman"/>
          <w:kern w:val="2"/>
          <w:sz w:val="30"/>
          <w:szCs w:val="30"/>
          <w:lang w:val="en-US" w:eastAsia="zh-CN" w:bidi="ar-SA"/>
        </w:rPr>
        <w:t>3.</w:t>
      </w:r>
      <w:r>
        <w:rPr>
          <w:rFonts w:hint="eastAsia" w:ascii="Times New Roman" w:hAnsi="Times New Roman" w:cs="Times New Roman"/>
          <w:kern w:val="2"/>
          <w:sz w:val="30"/>
          <w:szCs w:val="30"/>
          <w:lang w:val="en-US" w:bidi="ar-SA"/>
        </w:rPr>
        <w:t>不同通用名药品合并竞价的，按日平均治疗费用相同的原则计算价格（日平均治疗费用=申报</w:t>
      </w:r>
      <w:r>
        <w:rPr>
          <w:rFonts w:ascii="Times New Roman" w:hAnsi="Times New Roman" w:cs="Times New Roman"/>
          <w:kern w:val="2"/>
          <w:sz w:val="30"/>
          <w:szCs w:val="30"/>
          <w:lang w:val="en-US" w:bidi="ar-SA"/>
        </w:rPr>
        <w:t>品规</w:t>
      </w:r>
      <w:r>
        <w:rPr>
          <w:rFonts w:hint="eastAsia" w:ascii="Times New Roman" w:hAnsi="Times New Roman" w:cs="Times New Roman"/>
          <w:kern w:val="2"/>
          <w:sz w:val="30"/>
          <w:szCs w:val="30"/>
          <w:lang w:val="en-US" w:bidi="ar-SA"/>
        </w:rPr>
        <w:t>的价格×申报品规的日治疗量）</w:t>
      </w:r>
      <w:r>
        <w:rPr>
          <w:rFonts w:hint="eastAsia" w:ascii="Times New Roman" w:hAnsi="Times New Roman" w:cs="Times New Roman"/>
          <w:kern w:val="2"/>
          <w:sz w:val="30"/>
          <w:szCs w:val="30"/>
          <w:lang w:val="en-US" w:eastAsia="zh-CN" w:bidi="ar-SA"/>
        </w:rPr>
        <w:t>，不同品种的日平均治疗费用≤设定的最高日平均治疗费用。</w:t>
      </w:r>
    </w:p>
    <w:p>
      <w:pPr>
        <w:autoSpaceDE/>
        <w:autoSpaceDN/>
        <w:spacing w:line="600" w:lineRule="exact"/>
        <w:ind w:firstLine="600" w:firstLineChars="200"/>
        <w:jc w:val="both"/>
        <w:rPr>
          <w:rFonts w:hint="eastAsia" w:ascii="Times New Roman" w:hAnsi="Times New Roman" w:eastAsia="仿宋" w:cs="Times New Roman"/>
          <w:kern w:val="2"/>
          <w:sz w:val="30"/>
          <w:szCs w:val="30"/>
          <w:lang w:val="en-US" w:eastAsia="zh-CN" w:bidi="ar-SA"/>
        </w:rPr>
      </w:pPr>
      <w:r>
        <w:rPr>
          <w:rFonts w:hint="eastAsia" w:ascii="Times New Roman" w:hAnsi="Times New Roman" w:cs="Times New Roman"/>
          <w:kern w:val="2"/>
          <w:sz w:val="30"/>
          <w:szCs w:val="30"/>
          <w:lang w:val="en-US" w:eastAsia="zh-CN" w:bidi="ar-SA"/>
        </w:rPr>
        <w:t>4</w:t>
      </w:r>
      <w:r>
        <w:rPr>
          <w:rFonts w:hint="eastAsia" w:ascii="Times New Roman" w:hAnsi="Times New Roman" w:cs="Times New Roman"/>
          <w:kern w:val="2"/>
          <w:sz w:val="30"/>
          <w:szCs w:val="30"/>
          <w:lang w:val="en-US" w:bidi="ar-SA"/>
        </w:rPr>
        <w:t>.同品种“单位可比价”≤0.1000元</w:t>
      </w:r>
      <w:r>
        <w:rPr>
          <w:rFonts w:hint="eastAsia" w:ascii="Times New Roman" w:hAnsi="Times New Roman" w:cs="Times New Roman"/>
          <w:kern w:val="2"/>
          <w:sz w:val="30"/>
          <w:szCs w:val="30"/>
          <w:lang w:val="en-US" w:eastAsia="zh-CN" w:bidi="ar-SA"/>
        </w:rPr>
        <w:t>。</w:t>
      </w:r>
    </w:p>
    <w:p>
      <w:pPr>
        <w:autoSpaceDE/>
        <w:autoSpaceDN/>
        <w:spacing w:line="600" w:lineRule="exact"/>
        <w:ind w:firstLine="602" w:firstLineChars="200"/>
        <w:jc w:val="both"/>
        <w:rPr>
          <w:rFonts w:ascii="Times New Roman" w:hAnsi="Times New Roman" w:cs="Times New Roman"/>
          <w:b/>
          <w:bCs/>
          <w:kern w:val="2"/>
          <w:sz w:val="30"/>
          <w:szCs w:val="30"/>
          <w:lang w:val="en-US" w:bidi="ar-SA"/>
        </w:rPr>
      </w:pPr>
      <w:r>
        <w:rPr>
          <w:rFonts w:ascii="Times New Roman" w:hAnsi="Times New Roman" w:cs="Times New Roman"/>
          <w:b/>
          <w:bCs/>
          <w:kern w:val="2"/>
          <w:sz w:val="30"/>
          <w:szCs w:val="30"/>
          <w:lang w:val="en-US" w:bidi="ar-SA"/>
        </w:rPr>
        <w:t>（</w:t>
      </w:r>
      <w:r>
        <w:rPr>
          <w:rFonts w:hint="eastAsia" w:ascii="Times New Roman" w:hAnsi="Times New Roman" w:cs="Times New Roman"/>
          <w:b/>
          <w:bCs/>
          <w:kern w:val="2"/>
          <w:sz w:val="30"/>
          <w:szCs w:val="30"/>
          <w:lang w:val="en-US" w:bidi="ar-SA"/>
        </w:rPr>
        <w:t>三</w:t>
      </w:r>
      <w:r>
        <w:rPr>
          <w:rFonts w:ascii="Times New Roman" w:hAnsi="Times New Roman" w:cs="Times New Roman"/>
          <w:b/>
          <w:bCs/>
          <w:kern w:val="2"/>
          <w:sz w:val="30"/>
          <w:szCs w:val="30"/>
          <w:lang w:val="en-US" w:bidi="ar-SA"/>
        </w:rPr>
        <w:t>）</w:t>
      </w:r>
      <w:r>
        <w:rPr>
          <w:rFonts w:hint="eastAsia" w:ascii="Times New Roman" w:hAnsi="Times New Roman" w:cs="Times New Roman"/>
          <w:b/>
          <w:bCs/>
          <w:kern w:val="2"/>
          <w:sz w:val="30"/>
          <w:szCs w:val="30"/>
          <w:lang w:val="en-US" w:bidi="ar-SA"/>
        </w:rPr>
        <w:t>A/</w:t>
      </w:r>
      <w:r>
        <w:rPr>
          <w:rFonts w:ascii="Times New Roman" w:hAnsi="Times New Roman" w:cs="Times New Roman"/>
          <w:b/>
          <w:bCs/>
          <w:kern w:val="2"/>
          <w:sz w:val="30"/>
          <w:szCs w:val="30"/>
          <w:lang w:val="en-US" w:bidi="ar-SA"/>
        </w:rPr>
        <w:t>B采购单申报企业“单位可比价”相同时，按以下规则依次确定拟中选企业：</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1.</w:t>
      </w:r>
      <w:r>
        <w:rPr>
          <w:rFonts w:hint="eastAsia" w:ascii="Times New Roman" w:hAnsi="Times New Roman" w:cs="Times New Roman"/>
          <w:kern w:val="2"/>
          <w:sz w:val="30"/>
          <w:szCs w:val="30"/>
          <w:lang w:val="en-US" w:bidi="ar-SA"/>
        </w:rPr>
        <w:t>未被任意一省依据医药价格和招采信用评价制度评定为“中等”、“严重”或“特别严重”失信等级的企业优先</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2.</w:t>
      </w:r>
      <w:r>
        <w:rPr>
          <w:rFonts w:ascii="Times New Roman" w:hAnsi="Times New Roman" w:cs="Times New Roman"/>
          <w:kern w:val="2"/>
          <w:sz w:val="30"/>
          <w:szCs w:val="30"/>
          <w:lang w:val="en-US" w:bidi="ar-SA"/>
        </w:rPr>
        <w:t>2021年在联盟地区报量大的企业优先，多个规格的品种，报量合并计算（以联盟地区报送数据为依据）；</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3</w:t>
      </w:r>
      <w:r>
        <w:rPr>
          <w:rFonts w:ascii="Times New Roman" w:hAnsi="Times New Roman" w:cs="Times New Roman"/>
          <w:kern w:val="2"/>
          <w:sz w:val="30"/>
          <w:szCs w:val="30"/>
          <w:lang w:val="en-US" w:bidi="ar-SA"/>
        </w:rPr>
        <w:t>.2021年联盟地区报量省份数量多的企业优先（以联盟地区报送数据为依据）；</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4</w:t>
      </w:r>
      <w:r>
        <w:rPr>
          <w:rFonts w:ascii="Times New Roman" w:hAnsi="Times New Roman" w:cs="Times New Roman"/>
          <w:kern w:val="2"/>
          <w:sz w:val="30"/>
          <w:szCs w:val="30"/>
          <w:lang w:val="en-US" w:bidi="ar-SA"/>
        </w:rPr>
        <w:t>.通过或视同通过药品监督管理</w:t>
      </w:r>
      <w:r>
        <w:rPr>
          <w:rFonts w:hint="eastAsia" w:ascii="Times New Roman" w:hAnsi="Times New Roman" w:cs="Times New Roman"/>
          <w:kern w:val="2"/>
          <w:sz w:val="30"/>
          <w:szCs w:val="30"/>
          <w:lang w:val="en-US" w:bidi="ar-SA"/>
        </w:rPr>
        <w:t>部门</w:t>
      </w:r>
      <w:r>
        <w:rPr>
          <w:rFonts w:ascii="Times New Roman" w:hAnsi="Times New Roman" w:cs="Times New Roman"/>
          <w:kern w:val="2"/>
          <w:sz w:val="30"/>
          <w:szCs w:val="30"/>
          <w:lang w:val="en-US" w:bidi="ar-SA"/>
        </w:rPr>
        <w:t>仿制药质量和疗效一致性评价时间在前的企业优先（以药品监督管理</w:t>
      </w:r>
      <w:r>
        <w:rPr>
          <w:rFonts w:hint="eastAsia" w:ascii="Times New Roman" w:hAnsi="Times New Roman" w:cs="Times New Roman"/>
          <w:kern w:val="2"/>
          <w:sz w:val="30"/>
          <w:szCs w:val="30"/>
          <w:lang w:val="en-US" w:bidi="ar-SA"/>
        </w:rPr>
        <w:t>部门</w:t>
      </w:r>
      <w:r>
        <w:rPr>
          <w:rFonts w:ascii="Times New Roman" w:hAnsi="Times New Roman" w:cs="Times New Roman"/>
          <w:kern w:val="2"/>
          <w:sz w:val="30"/>
          <w:szCs w:val="30"/>
          <w:lang w:val="en-US" w:bidi="ar-SA"/>
        </w:rPr>
        <w:t>批准日期为准）；</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5</w:t>
      </w:r>
      <w:r>
        <w:rPr>
          <w:rFonts w:ascii="Times New Roman" w:hAnsi="Times New Roman" w:cs="Times New Roman"/>
          <w:kern w:val="2"/>
          <w:sz w:val="30"/>
          <w:szCs w:val="30"/>
          <w:lang w:val="en-US" w:bidi="ar-SA"/>
        </w:rPr>
        <w:t>.原料药自产的企业优先（限指原料药和制剂生产企业为同一法人）。</w:t>
      </w:r>
    </w:p>
    <w:p>
      <w:pPr>
        <w:pStyle w:val="2"/>
        <w:spacing w:line="600" w:lineRule="exact"/>
        <w:ind w:firstLine="600" w:firstLineChars="200"/>
        <w:rPr>
          <w:rFonts w:hint="default" w:ascii="Times New Roman" w:hAnsi="Times New Roman" w:eastAsia="仿宋"/>
          <w:color w:val="auto"/>
          <w:sz w:val="30"/>
          <w:szCs w:val="30"/>
        </w:rPr>
      </w:pPr>
      <w:r>
        <w:rPr>
          <w:rFonts w:ascii="Times New Roman" w:hAnsi="Times New Roman" w:eastAsia="仿宋"/>
          <w:color w:val="auto"/>
          <w:sz w:val="30"/>
          <w:szCs w:val="30"/>
        </w:rPr>
        <w:t>6</w:t>
      </w:r>
      <w:r>
        <w:rPr>
          <w:rFonts w:hint="default" w:ascii="Times New Roman" w:hAnsi="Times New Roman" w:eastAsia="仿宋"/>
          <w:color w:val="auto"/>
          <w:sz w:val="30"/>
          <w:szCs w:val="30"/>
        </w:rPr>
        <w:t>.若按以上规则仍无法确定拟中选企业的，</w:t>
      </w:r>
      <w:r>
        <w:rPr>
          <w:rFonts w:ascii="Times New Roman" w:hAnsi="Times New Roman" w:eastAsia="仿宋"/>
          <w:color w:val="auto"/>
          <w:sz w:val="30"/>
          <w:szCs w:val="30"/>
        </w:rPr>
        <w:t>均获得拟中选资格</w:t>
      </w:r>
      <w:r>
        <w:rPr>
          <w:rFonts w:hint="default" w:ascii="Times New Roman" w:hAnsi="Times New Roman" w:eastAsia="仿宋"/>
          <w:color w:val="auto"/>
          <w:sz w:val="30"/>
          <w:szCs w:val="30"/>
        </w:rPr>
        <w:t>。</w:t>
      </w:r>
    </w:p>
    <w:p>
      <w:pPr>
        <w:autoSpaceDE/>
        <w:autoSpaceDN/>
        <w:spacing w:line="600" w:lineRule="exact"/>
        <w:ind w:firstLine="602" w:firstLineChars="200"/>
        <w:jc w:val="both"/>
        <w:rPr>
          <w:rFonts w:ascii="Times New Roman" w:hAnsi="Times New Roman" w:cs="Times New Roman"/>
          <w:b/>
          <w:bCs/>
          <w:kern w:val="2"/>
          <w:sz w:val="30"/>
          <w:szCs w:val="30"/>
          <w:lang w:val="en-US" w:bidi="ar-SA"/>
        </w:rPr>
      </w:pPr>
      <w:r>
        <w:rPr>
          <w:rFonts w:hint="eastAsia" w:ascii="Times New Roman" w:hAnsi="Times New Roman" w:cs="Times New Roman"/>
          <w:b/>
          <w:bCs/>
          <w:kern w:val="2"/>
          <w:sz w:val="30"/>
          <w:szCs w:val="30"/>
          <w:lang w:val="en-US" w:bidi="ar-SA"/>
        </w:rPr>
        <w:t>（四）A/B采购单拟中选价格的确定规则</w:t>
      </w:r>
    </w:p>
    <w:p>
      <w:pPr>
        <w:pStyle w:val="2"/>
        <w:spacing w:line="600" w:lineRule="exact"/>
        <w:ind w:firstLine="600" w:firstLineChars="200"/>
        <w:rPr>
          <w:rFonts w:hint="default" w:ascii="Times New Roman" w:hAnsi="Times New Roman" w:eastAsia="仿宋" w:cs="Times New Roman"/>
          <w:color w:val="auto"/>
          <w:kern w:val="2"/>
          <w:sz w:val="30"/>
          <w:szCs w:val="30"/>
          <w:lang w:val="en-US" w:eastAsia="zh-CN" w:bidi="ar-SA"/>
        </w:rPr>
      </w:pPr>
      <w:r>
        <w:rPr>
          <w:rFonts w:hint="eastAsia" w:ascii="Times New Roman" w:hAnsi="Times New Roman" w:eastAsia="仿宋" w:cs="Times New Roman"/>
          <w:color w:val="auto"/>
          <w:kern w:val="2"/>
          <w:sz w:val="30"/>
          <w:szCs w:val="30"/>
          <w:lang w:val="en-US" w:eastAsia="zh-CN" w:bidi="ar-SA"/>
        </w:rPr>
        <w:t>同一</w:t>
      </w:r>
      <w:r>
        <w:rPr>
          <w:rFonts w:hint="default" w:ascii="Times New Roman" w:hAnsi="Times New Roman" w:eastAsia="仿宋" w:cs="Times New Roman"/>
          <w:color w:val="auto"/>
          <w:kern w:val="2"/>
          <w:sz w:val="30"/>
          <w:szCs w:val="30"/>
          <w:lang w:val="en-US" w:eastAsia="zh-CN" w:bidi="ar-SA"/>
        </w:rPr>
        <w:t>申报企业明确的供应产品清单中，同品规过评A/B采购单拟中选价格不高于全国最低价格；同品规非过评B采购单拟中选价格不</w:t>
      </w:r>
      <w:r>
        <w:rPr>
          <w:rFonts w:hint="eastAsia" w:ascii="Times New Roman" w:hAnsi="Times New Roman" w:eastAsia="仿宋" w:cs="Times New Roman"/>
          <w:color w:val="auto"/>
          <w:kern w:val="2"/>
          <w:sz w:val="30"/>
          <w:szCs w:val="30"/>
          <w:lang w:val="en-US" w:eastAsia="zh-CN" w:bidi="ar-SA"/>
        </w:rPr>
        <w:t>高于全国最低价格（或经同品种规格差比后的价格）且低于过评A/B采购单的全国最低价格（或经同品种规格差比后的价格）。</w:t>
      </w:r>
    </w:p>
    <w:p>
      <w:pPr>
        <w:pStyle w:val="2"/>
        <w:spacing w:line="600" w:lineRule="exact"/>
        <w:ind w:firstLine="600" w:firstLineChars="200"/>
        <w:rPr>
          <w:rFonts w:hint="default" w:ascii="Times New Roman" w:hAnsi="Times New Roman" w:eastAsia="仿宋" w:cs="Times New Roman"/>
          <w:color w:val="auto"/>
          <w:kern w:val="2"/>
          <w:sz w:val="30"/>
          <w:szCs w:val="30"/>
          <w:lang w:val="en-US" w:eastAsia="zh-CN" w:bidi="ar-SA"/>
        </w:rPr>
      </w:pPr>
      <w:r>
        <w:rPr>
          <w:rFonts w:hint="eastAsia" w:ascii="Times New Roman" w:hAnsi="Times New Roman" w:eastAsia="仿宋" w:cs="Times New Roman"/>
          <w:color w:val="auto"/>
          <w:kern w:val="2"/>
          <w:sz w:val="30"/>
          <w:szCs w:val="30"/>
          <w:lang w:val="en-US" w:eastAsia="zh-CN" w:bidi="ar-SA"/>
        </w:rPr>
        <w:t>全国最低价格取同企业供应产品清单中同品种规格经差比后的最低价格。同申报企业明确的供应产品清单中未填报原国家集采中选品规，但原中选企业同品种的其他规格在本次集团采购中获得拟中选资格的，其原国家集采中选价格仍纳入本企业全国最低价格计算范围。</w:t>
      </w:r>
    </w:p>
    <w:p>
      <w:pPr>
        <w:autoSpaceDE/>
        <w:autoSpaceDN/>
        <w:spacing w:line="600" w:lineRule="exact"/>
        <w:ind w:firstLine="602" w:firstLineChars="200"/>
        <w:jc w:val="both"/>
        <w:rPr>
          <w:rFonts w:ascii="Times New Roman" w:hAnsi="Times New Roman" w:cs="Times New Roman"/>
          <w:b/>
          <w:bCs/>
          <w:kern w:val="2"/>
          <w:sz w:val="30"/>
          <w:szCs w:val="30"/>
          <w:lang w:val="en-US" w:bidi="ar-SA"/>
        </w:rPr>
      </w:pPr>
      <w:r>
        <w:rPr>
          <w:rFonts w:ascii="Times New Roman" w:hAnsi="Times New Roman" w:cs="Times New Roman"/>
          <w:b/>
          <w:bCs/>
          <w:kern w:val="2"/>
          <w:sz w:val="30"/>
          <w:szCs w:val="30"/>
          <w:lang w:val="en-US" w:bidi="ar-SA"/>
        </w:rPr>
        <w:t>（</w:t>
      </w:r>
      <w:r>
        <w:rPr>
          <w:rFonts w:hint="eastAsia" w:ascii="Times New Roman" w:hAnsi="Times New Roman" w:cs="Times New Roman"/>
          <w:b/>
          <w:bCs/>
          <w:kern w:val="2"/>
          <w:sz w:val="30"/>
          <w:szCs w:val="30"/>
          <w:lang w:val="en-US" w:bidi="ar-SA"/>
        </w:rPr>
        <w:t>五</w:t>
      </w:r>
      <w:r>
        <w:rPr>
          <w:rFonts w:ascii="Times New Roman" w:hAnsi="Times New Roman" w:cs="Times New Roman"/>
          <w:b/>
          <w:bCs/>
          <w:kern w:val="2"/>
          <w:sz w:val="30"/>
          <w:szCs w:val="30"/>
          <w:lang w:val="en-US" w:bidi="ar-SA"/>
        </w:rPr>
        <w:t>）</w:t>
      </w:r>
      <w:r>
        <w:rPr>
          <w:rFonts w:hint="eastAsia" w:ascii="Times New Roman" w:hAnsi="Times New Roman" w:cs="Times New Roman"/>
          <w:b/>
          <w:bCs/>
          <w:kern w:val="2"/>
          <w:sz w:val="30"/>
          <w:szCs w:val="30"/>
          <w:lang w:val="en-US" w:eastAsia="zh-CN" w:bidi="ar-SA"/>
        </w:rPr>
        <w:t>公布</w:t>
      </w:r>
      <w:r>
        <w:rPr>
          <w:rFonts w:ascii="Times New Roman" w:hAnsi="Times New Roman" w:cs="Times New Roman"/>
          <w:b/>
          <w:bCs/>
          <w:kern w:val="2"/>
          <w:sz w:val="30"/>
          <w:szCs w:val="30"/>
          <w:lang w:val="en-US" w:bidi="ar-SA"/>
        </w:rPr>
        <w:t>拟中选结果</w:t>
      </w:r>
    </w:p>
    <w:p>
      <w:pPr>
        <w:autoSpaceDE/>
        <w:autoSpaceDN/>
        <w:spacing w:line="600" w:lineRule="exact"/>
        <w:ind w:firstLine="600" w:firstLineChars="200"/>
        <w:jc w:val="both"/>
        <w:rPr>
          <w:rFonts w:ascii="Times New Roman" w:hAnsi="Times New Roman" w:cs="Times New Roman"/>
          <w:color w:val="auto"/>
          <w:kern w:val="2"/>
          <w:sz w:val="30"/>
          <w:szCs w:val="30"/>
          <w:lang w:val="en-US" w:bidi="ar-SA"/>
        </w:rPr>
      </w:pPr>
      <w:r>
        <w:rPr>
          <w:rFonts w:hint="eastAsia" w:ascii="Times New Roman" w:hAnsi="Times New Roman" w:cs="Times New Roman"/>
          <w:color w:val="auto"/>
          <w:kern w:val="2"/>
          <w:sz w:val="30"/>
          <w:szCs w:val="30"/>
          <w:lang w:val="en-US" w:eastAsia="zh-CN" w:bidi="ar-SA"/>
        </w:rPr>
        <w:t>本次药品中选价格现场公布；中选产品和中选企业将</w:t>
      </w:r>
      <w:r>
        <w:rPr>
          <w:rFonts w:ascii="Times New Roman" w:hAnsi="Times New Roman" w:cs="Times New Roman"/>
          <w:color w:val="auto"/>
          <w:kern w:val="2"/>
          <w:sz w:val="30"/>
          <w:szCs w:val="30"/>
          <w:lang w:val="en-US" w:bidi="ar-SA"/>
        </w:rPr>
        <w:t>在省平台（www. gdmede.com.cn）公示并接受复核申请。复核申请应在公示期间内提出，并依法依规提供合法有效证明材料。未提供相应证明材料的，原则上不予受理。</w:t>
      </w:r>
    </w:p>
    <w:p>
      <w:pPr>
        <w:autoSpaceDE/>
        <w:autoSpaceDN/>
        <w:spacing w:line="600" w:lineRule="exact"/>
        <w:ind w:firstLine="602" w:firstLineChars="200"/>
        <w:jc w:val="both"/>
        <w:rPr>
          <w:rFonts w:ascii="Times New Roman" w:hAnsi="Times New Roman" w:cs="Times New Roman"/>
          <w:b/>
          <w:bCs/>
          <w:kern w:val="2"/>
          <w:sz w:val="30"/>
          <w:szCs w:val="30"/>
          <w:lang w:val="en-US" w:bidi="ar-SA"/>
        </w:rPr>
      </w:pPr>
      <w:r>
        <w:rPr>
          <w:rFonts w:ascii="Times New Roman" w:hAnsi="Times New Roman" w:cs="Times New Roman"/>
          <w:b/>
          <w:bCs/>
          <w:kern w:val="2"/>
          <w:sz w:val="30"/>
          <w:szCs w:val="30"/>
          <w:lang w:val="en-US" w:bidi="ar-SA"/>
        </w:rPr>
        <w:t>（</w:t>
      </w:r>
      <w:r>
        <w:rPr>
          <w:rFonts w:hint="eastAsia" w:ascii="Times New Roman" w:hAnsi="Times New Roman" w:cs="Times New Roman"/>
          <w:b/>
          <w:bCs/>
          <w:kern w:val="2"/>
          <w:sz w:val="30"/>
          <w:szCs w:val="30"/>
          <w:lang w:val="en-US" w:bidi="ar-SA"/>
        </w:rPr>
        <w:t>六</w:t>
      </w:r>
      <w:r>
        <w:rPr>
          <w:rFonts w:ascii="Times New Roman" w:hAnsi="Times New Roman" w:cs="Times New Roman"/>
          <w:b/>
          <w:bCs/>
          <w:kern w:val="2"/>
          <w:sz w:val="30"/>
          <w:szCs w:val="30"/>
          <w:lang w:val="en-US" w:bidi="ar-SA"/>
        </w:rPr>
        <w:t>）确认</w:t>
      </w:r>
      <w:r>
        <w:rPr>
          <w:rFonts w:hint="eastAsia" w:ascii="Times New Roman" w:hAnsi="Times New Roman" w:cs="Times New Roman"/>
          <w:b/>
          <w:bCs/>
          <w:kern w:val="2"/>
          <w:sz w:val="30"/>
          <w:szCs w:val="30"/>
          <w:lang w:val="en-US" w:bidi="ar-SA"/>
        </w:rPr>
        <w:t>待分配</w:t>
      </w:r>
      <w:r>
        <w:rPr>
          <w:rFonts w:ascii="Times New Roman" w:hAnsi="Times New Roman" w:cs="Times New Roman"/>
          <w:b/>
          <w:bCs/>
          <w:kern w:val="2"/>
          <w:sz w:val="30"/>
          <w:szCs w:val="30"/>
          <w:lang w:val="en-US" w:bidi="ar-SA"/>
        </w:rPr>
        <w:t>量</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1</w:t>
      </w:r>
      <w:r>
        <w:rPr>
          <w:rFonts w:ascii="Times New Roman" w:hAnsi="Times New Roman" w:cs="Times New Roman"/>
          <w:kern w:val="2"/>
          <w:sz w:val="30"/>
          <w:szCs w:val="30"/>
          <w:lang w:val="en-US" w:bidi="ar-SA"/>
        </w:rPr>
        <w:t>.</w:t>
      </w:r>
      <w:r>
        <w:rPr>
          <w:rFonts w:hint="eastAsia" w:ascii="Times New Roman" w:hAnsi="Times New Roman" w:cs="Times New Roman"/>
          <w:kern w:val="2"/>
          <w:sz w:val="30"/>
          <w:szCs w:val="30"/>
          <w:lang w:val="en-US" w:bidi="ar-SA"/>
        </w:rPr>
        <w:t>待分配量是指：过评A/B采购单未中选企业联盟地区首年预采购总量以及非过评</w:t>
      </w:r>
      <w:r>
        <w:rPr>
          <w:rFonts w:ascii="Times New Roman" w:hAnsi="Times New Roman" w:cs="Times New Roman"/>
          <w:kern w:val="2"/>
          <w:sz w:val="30"/>
          <w:szCs w:val="30"/>
          <w:lang w:val="en-US" w:bidi="ar-SA"/>
        </w:rPr>
        <w:t>B采购单联盟地区首年预采购总量。</w:t>
      </w:r>
      <w:r>
        <w:rPr>
          <w:rFonts w:hint="eastAsia" w:ascii="Times New Roman" w:hAnsi="Times New Roman" w:cs="Times New Roman"/>
          <w:kern w:val="2"/>
          <w:sz w:val="30"/>
          <w:szCs w:val="30"/>
          <w:lang w:val="en-US" w:bidi="ar-SA"/>
        </w:rPr>
        <w:t>过评A采购单2家</w:t>
      </w:r>
      <w:r>
        <w:rPr>
          <w:rFonts w:hint="eastAsia" w:ascii="Times New Roman" w:hAnsi="Times New Roman" w:cs="Times New Roman"/>
          <w:kern w:val="2"/>
          <w:sz w:val="30"/>
          <w:szCs w:val="30"/>
          <w:lang w:val="en-US" w:eastAsia="zh-CN" w:bidi="ar-SA"/>
        </w:rPr>
        <w:t>（含本数）</w:t>
      </w:r>
      <w:r>
        <w:rPr>
          <w:rFonts w:hint="eastAsia" w:ascii="Times New Roman" w:hAnsi="Times New Roman" w:cs="Times New Roman"/>
          <w:kern w:val="2"/>
          <w:sz w:val="30"/>
          <w:szCs w:val="30"/>
          <w:lang w:val="en-US" w:bidi="ar-SA"/>
        </w:rPr>
        <w:t>以下的联盟地区首年预采购总量的</w:t>
      </w:r>
      <w:r>
        <w:rPr>
          <w:rFonts w:hint="eastAsia" w:ascii="Times New Roman" w:hAnsi="Times New Roman" w:cs="Times New Roman"/>
          <w:color w:val="auto"/>
          <w:kern w:val="2"/>
          <w:sz w:val="30"/>
          <w:szCs w:val="30"/>
          <w:lang w:val="en-US" w:eastAsia="zh-CN" w:bidi="ar-SA"/>
        </w:rPr>
        <w:t>？</w:t>
      </w:r>
      <w:r>
        <w:rPr>
          <w:rFonts w:hint="eastAsia" w:ascii="Times New Roman" w:hAnsi="Times New Roman" w:cs="Times New Roman"/>
          <w:kern w:val="2"/>
          <w:sz w:val="30"/>
          <w:szCs w:val="30"/>
          <w:lang w:val="en-US" w:bidi="ar-SA"/>
        </w:rPr>
        <w:t>%。</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2</w:t>
      </w:r>
      <w:r>
        <w:rPr>
          <w:rFonts w:ascii="Times New Roman" w:hAnsi="Times New Roman" w:cs="Times New Roman"/>
          <w:kern w:val="2"/>
          <w:sz w:val="30"/>
          <w:szCs w:val="30"/>
          <w:lang w:val="en-US" w:bidi="ar-SA"/>
        </w:rPr>
        <w:t>.获得</w:t>
      </w:r>
      <w:r>
        <w:rPr>
          <w:rFonts w:hint="eastAsia" w:ascii="Times New Roman" w:hAnsi="Times New Roman" w:cs="Times New Roman"/>
          <w:kern w:val="2"/>
          <w:sz w:val="30"/>
          <w:szCs w:val="30"/>
          <w:lang w:val="en-US" w:bidi="ar-SA"/>
        </w:rPr>
        <w:t>待分配量</w:t>
      </w:r>
      <w:r>
        <w:rPr>
          <w:rFonts w:ascii="Times New Roman" w:hAnsi="Times New Roman" w:cs="Times New Roman"/>
          <w:kern w:val="2"/>
          <w:sz w:val="30"/>
          <w:szCs w:val="30"/>
          <w:lang w:val="en-US" w:bidi="ar-SA"/>
        </w:rPr>
        <w:t>资格的是：</w:t>
      </w:r>
      <w:r>
        <w:rPr>
          <w:rFonts w:hint="eastAsia" w:ascii="Times New Roman" w:hAnsi="Times New Roman" w:cs="Times New Roman"/>
          <w:kern w:val="2"/>
          <w:sz w:val="30"/>
          <w:szCs w:val="30"/>
          <w:lang w:val="en-US" w:bidi="ar-SA"/>
        </w:rPr>
        <w:t>不同类别A/B采购单的</w:t>
      </w:r>
      <w:r>
        <w:rPr>
          <w:rFonts w:ascii="Times New Roman" w:hAnsi="Times New Roman" w:cs="Times New Roman"/>
          <w:kern w:val="2"/>
          <w:sz w:val="30"/>
          <w:szCs w:val="30"/>
          <w:lang w:val="en-US" w:bidi="ar-SA"/>
        </w:rPr>
        <w:t>拟中选产品</w:t>
      </w:r>
      <w:r>
        <w:rPr>
          <w:rFonts w:hint="eastAsia" w:ascii="Times New Roman" w:hAnsi="Times New Roman" w:cs="Times New Roman"/>
          <w:kern w:val="2"/>
          <w:sz w:val="30"/>
          <w:szCs w:val="30"/>
          <w:lang w:val="en-US" w:eastAsia="zh-CN" w:bidi="ar-SA"/>
        </w:rPr>
        <w:t>。过评</w:t>
      </w:r>
      <w:r>
        <w:rPr>
          <w:rFonts w:hint="eastAsia" w:ascii="Times New Roman" w:hAnsi="Times New Roman" w:cs="Times New Roman"/>
          <w:kern w:val="2"/>
          <w:sz w:val="30"/>
          <w:szCs w:val="30"/>
          <w:lang w:val="en-US" w:bidi="ar-SA"/>
        </w:rPr>
        <w:t>A采购单</w:t>
      </w:r>
      <w:r>
        <w:rPr>
          <w:rFonts w:hint="eastAsia" w:ascii="Times New Roman" w:hAnsi="Times New Roman" w:cs="Times New Roman"/>
          <w:kern w:val="2"/>
          <w:sz w:val="30"/>
          <w:szCs w:val="30"/>
          <w:lang w:val="en-US" w:eastAsia="zh-CN" w:bidi="ar-SA"/>
        </w:rPr>
        <w:t>仅有</w:t>
      </w:r>
      <w:r>
        <w:rPr>
          <w:rFonts w:hint="eastAsia" w:ascii="Times New Roman" w:hAnsi="Times New Roman" w:cs="Times New Roman"/>
          <w:kern w:val="2"/>
          <w:sz w:val="30"/>
          <w:szCs w:val="30"/>
          <w:lang w:val="en-US" w:bidi="ar-SA"/>
        </w:rPr>
        <w:t>2家（含</w:t>
      </w:r>
      <w:r>
        <w:rPr>
          <w:rFonts w:hint="eastAsia" w:ascii="Times New Roman" w:hAnsi="Times New Roman" w:cs="Times New Roman"/>
          <w:kern w:val="2"/>
          <w:sz w:val="30"/>
          <w:szCs w:val="30"/>
          <w:lang w:val="en-US" w:eastAsia="zh-CN" w:bidi="ar-SA"/>
        </w:rPr>
        <w:t>本数</w:t>
      </w:r>
      <w:r>
        <w:rPr>
          <w:rFonts w:hint="eastAsia" w:ascii="Times New Roman" w:hAnsi="Times New Roman" w:cs="Times New Roman"/>
          <w:kern w:val="2"/>
          <w:sz w:val="30"/>
          <w:szCs w:val="30"/>
          <w:lang w:val="en-US" w:bidi="ar-SA"/>
        </w:rPr>
        <w:t>）拟中选产品</w:t>
      </w:r>
      <w:r>
        <w:rPr>
          <w:rFonts w:hint="eastAsia" w:ascii="Times New Roman" w:hAnsi="Times New Roman" w:cs="Times New Roman"/>
          <w:kern w:val="2"/>
          <w:sz w:val="30"/>
          <w:szCs w:val="30"/>
          <w:lang w:val="en-US" w:eastAsia="zh-CN" w:bidi="ar-SA"/>
        </w:rPr>
        <w:t>的选择顺序：</w:t>
      </w:r>
      <w:r>
        <w:rPr>
          <w:rFonts w:hint="eastAsia" w:ascii="Times New Roman" w:hAnsi="Times New Roman" w:cs="Times New Roman"/>
          <w:kern w:val="2"/>
          <w:sz w:val="30"/>
          <w:szCs w:val="30"/>
          <w:lang w:val="en-US" w:bidi="ar-SA"/>
        </w:rPr>
        <w:t>先</w:t>
      </w:r>
      <w:r>
        <w:rPr>
          <w:rFonts w:hint="eastAsia" w:ascii="Times New Roman" w:hAnsi="Times New Roman" w:cs="Times New Roman"/>
          <w:kern w:val="2"/>
          <w:sz w:val="30"/>
          <w:szCs w:val="30"/>
          <w:lang w:val="en-US" w:eastAsia="zh-CN" w:bidi="ar-SA"/>
        </w:rPr>
        <w:t>选</w:t>
      </w:r>
      <w:r>
        <w:rPr>
          <w:rFonts w:hint="eastAsia" w:ascii="Times New Roman" w:hAnsi="Times New Roman" w:cs="Times New Roman"/>
          <w:kern w:val="2"/>
          <w:sz w:val="30"/>
          <w:szCs w:val="30"/>
          <w:lang w:val="en-US" w:bidi="ar-SA"/>
        </w:rPr>
        <w:t>第</w:t>
      </w:r>
      <w:r>
        <w:rPr>
          <w:rFonts w:hint="eastAsia" w:ascii="Times New Roman" w:hAnsi="Times New Roman" w:cs="Times New Roman"/>
          <w:kern w:val="2"/>
          <w:sz w:val="30"/>
          <w:szCs w:val="30"/>
          <w:lang w:val="en-US" w:eastAsia="zh-CN" w:bidi="ar-SA"/>
        </w:rPr>
        <w:t>2</w:t>
      </w:r>
      <w:r>
        <w:rPr>
          <w:rFonts w:hint="eastAsia" w:ascii="Times New Roman" w:hAnsi="Times New Roman" w:cs="Times New Roman"/>
          <w:kern w:val="2"/>
          <w:sz w:val="30"/>
          <w:szCs w:val="30"/>
          <w:lang w:val="en-US" w:bidi="ar-SA"/>
        </w:rPr>
        <w:t>梯级</w:t>
      </w:r>
      <w:r>
        <w:rPr>
          <w:rFonts w:hint="eastAsia" w:ascii="Times New Roman" w:hAnsi="Times New Roman" w:cs="Times New Roman"/>
          <w:kern w:val="2"/>
          <w:sz w:val="30"/>
          <w:szCs w:val="30"/>
          <w:lang w:val="en-US" w:eastAsia="zh-CN" w:bidi="ar-SA"/>
        </w:rPr>
        <w:t>价格低；若第2梯级价格相同的，选</w:t>
      </w:r>
      <w:r>
        <w:rPr>
          <w:rFonts w:hint="eastAsia" w:ascii="Times New Roman" w:hAnsi="Times New Roman" w:cs="Times New Roman"/>
          <w:kern w:val="2"/>
          <w:sz w:val="30"/>
          <w:szCs w:val="30"/>
          <w:lang w:val="en-US" w:bidi="ar-SA"/>
        </w:rPr>
        <w:t>第</w:t>
      </w:r>
      <w:r>
        <w:rPr>
          <w:rFonts w:hint="eastAsia" w:ascii="Times New Roman" w:hAnsi="Times New Roman" w:cs="Times New Roman"/>
          <w:kern w:val="2"/>
          <w:sz w:val="30"/>
          <w:szCs w:val="30"/>
          <w:lang w:val="en-US" w:eastAsia="zh-CN" w:bidi="ar-SA"/>
        </w:rPr>
        <w:t>1</w:t>
      </w:r>
      <w:r>
        <w:rPr>
          <w:rFonts w:hint="eastAsia" w:ascii="Times New Roman" w:hAnsi="Times New Roman" w:cs="Times New Roman"/>
          <w:kern w:val="2"/>
          <w:sz w:val="30"/>
          <w:szCs w:val="30"/>
          <w:lang w:val="en-US" w:bidi="ar-SA"/>
        </w:rPr>
        <w:t>梯级价格低的</w:t>
      </w:r>
      <w:r>
        <w:rPr>
          <w:rFonts w:hint="eastAsia" w:ascii="Times New Roman" w:hAnsi="Times New Roman" w:cs="Times New Roman"/>
          <w:kern w:val="2"/>
          <w:sz w:val="30"/>
          <w:szCs w:val="30"/>
          <w:lang w:val="en-US" w:eastAsia="zh-CN" w:bidi="ar-SA"/>
        </w:rPr>
        <w:t>；若第1和2梯级价格均</w:t>
      </w:r>
      <w:r>
        <w:rPr>
          <w:rFonts w:hint="eastAsia" w:ascii="Times New Roman" w:hAnsi="Times New Roman" w:cs="Times New Roman"/>
          <w:kern w:val="2"/>
          <w:sz w:val="30"/>
          <w:szCs w:val="30"/>
          <w:lang w:val="en-US" w:bidi="ar-SA"/>
        </w:rPr>
        <w:t>相同的</w:t>
      </w:r>
      <w:r>
        <w:rPr>
          <w:rFonts w:hint="eastAsia" w:ascii="Times New Roman" w:hAnsi="Times New Roman" w:cs="Times New Roman"/>
          <w:kern w:val="2"/>
          <w:sz w:val="30"/>
          <w:szCs w:val="30"/>
          <w:lang w:val="en-US" w:eastAsia="zh-CN" w:bidi="ar-SA"/>
        </w:rPr>
        <w:t>则均获得</w:t>
      </w:r>
      <w:r>
        <w:rPr>
          <w:rFonts w:hint="eastAsia" w:ascii="Times New Roman" w:hAnsi="Times New Roman" w:cs="Times New Roman"/>
          <w:kern w:val="2"/>
          <w:sz w:val="30"/>
          <w:szCs w:val="30"/>
          <w:lang w:val="en-US" w:bidi="ar-SA"/>
        </w:rPr>
        <w:t>。</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3.省内医疗机构仅对</w:t>
      </w:r>
      <w:r>
        <w:rPr>
          <w:rFonts w:hint="eastAsia" w:ascii="Times New Roman" w:hAnsi="Times New Roman" w:cs="Times New Roman"/>
          <w:kern w:val="2"/>
          <w:sz w:val="30"/>
          <w:szCs w:val="30"/>
          <w:lang w:val="en-US" w:bidi="ar-SA"/>
        </w:rPr>
        <w:t>待分配量</w:t>
      </w:r>
      <w:r>
        <w:rPr>
          <w:rFonts w:ascii="Times New Roman" w:hAnsi="Times New Roman" w:cs="Times New Roman"/>
          <w:kern w:val="2"/>
          <w:sz w:val="30"/>
          <w:szCs w:val="30"/>
          <w:lang w:val="en-US" w:bidi="ar-SA"/>
        </w:rPr>
        <w:t>进行调整并确认。联盟地区相关省的医疗机构按上述规定调整确认</w:t>
      </w:r>
      <w:r>
        <w:rPr>
          <w:rFonts w:hint="eastAsia" w:ascii="Times New Roman" w:hAnsi="Times New Roman" w:cs="Times New Roman"/>
          <w:kern w:val="2"/>
          <w:sz w:val="30"/>
          <w:szCs w:val="30"/>
          <w:lang w:val="en-US" w:bidi="ar-SA"/>
        </w:rPr>
        <w:t>待分配量</w:t>
      </w:r>
      <w:r>
        <w:rPr>
          <w:rFonts w:ascii="Times New Roman" w:hAnsi="Times New Roman" w:cs="Times New Roman"/>
          <w:kern w:val="2"/>
          <w:sz w:val="30"/>
          <w:szCs w:val="30"/>
          <w:lang w:val="en-US" w:bidi="ar-SA"/>
        </w:rPr>
        <w:t>，亦可在省平台上操作，并报本省医疗保障局审核盖章后上传广东省平台。</w:t>
      </w:r>
    </w:p>
    <w:p>
      <w:pPr>
        <w:autoSpaceDE/>
        <w:autoSpaceDN/>
        <w:spacing w:line="600" w:lineRule="exact"/>
        <w:ind w:firstLine="602" w:firstLineChars="200"/>
        <w:jc w:val="both"/>
        <w:rPr>
          <w:rFonts w:ascii="Times New Roman" w:hAnsi="Times New Roman" w:cs="Times New Roman"/>
          <w:b/>
          <w:bCs/>
          <w:kern w:val="2"/>
          <w:sz w:val="30"/>
          <w:szCs w:val="30"/>
          <w:lang w:val="en-US" w:bidi="ar-SA"/>
        </w:rPr>
      </w:pPr>
      <w:r>
        <w:rPr>
          <w:rFonts w:ascii="Times New Roman" w:hAnsi="Times New Roman" w:cs="Times New Roman"/>
          <w:b/>
          <w:bCs/>
          <w:kern w:val="2"/>
          <w:sz w:val="30"/>
          <w:szCs w:val="30"/>
          <w:lang w:val="en-US" w:bidi="ar-SA"/>
        </w:rPr>
        <w:t>（</w:t>
      </w:r>
      <w:r>
        <w:rPr>
          <w:rFonts w:hint="eastAsia" w:ascii="Times New Roman" w:hAnsi="Times New Roman" w:cs="Times New Roman"/>
          <w:b/>
          <w:bCs/>
          <w:kern w:val="2"/>
          <w:sz w:val="30"/>
          <w:szCs w:val="30"/>
          <w:lang w:val="en-US" w:bidi="ar-SA"/>
        </w:rPr>
        <w:t>七</w:t>
      </w:r>
      <w:r>
        <w:rPr>
          <w:rFonts w:ascii="Times New Roman" w:hAnsi="Times New Roman" w:cs="Times New Roman"/>
          <w:b/>
          <w:bCs/>
          <w:kern w:val="2"/>
          <w:sz w:val="30"/>
          <w:szCs w:val="30"/>
          <w:lang w:val="en-US" w:bidi="ar-SA"/>
        </w:rPr>
        <w:t>）</w:t>
      </w:r>
      <w:r>
        <w:rPr>
          <w:rFonts w:hint="eastAsia" w:ascii="Times New Roman" w:hAnsi="Times New Roman" w:cs="Times New Roman"/>
          <w:b/>
          <w:bCs/>
          <w:kern w:val="2"/>
          <w:sz w:val="30"/>
          <w:szCs w:val="30"/>
          <w:lang w:val="en-US" w:bidi="ar-SA"/>
        </w:rPr>
        <w:t>确认</w:t>
      </w:r>
      <w:r>
        <w:rPr>
          <w:rFonts w:ascii="Times New Roman" w:hAnsi="Times New Roman" w:cs="Times New Roman"/>
          <w:b/>
          <w:bCs/>
          <w:kern w:val="2"/>
          <w:sz w:val="30"/>
          <w:szCs w:val="30"/>
          <w:lang w:val="en-US" w:bidi="ar-SA"/>
        </w:rPr>
        <w:t>预采购量</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过评A/B采购单拟中选产品获得对应企业采购需求量的</w:t>
      </w:r>
      <w:r>
        <w:rPr>
          <w:rFonts w:hint="eastAsia" w:ascii="Times New Roman" w:hAnsi="Times New Roman" w:cs="Times New Roman"/>
          <w:kern w:val="2"/>
          <w:sz w:val="30"/>
          <w:szCs w:val="30"/>
          <w:lang w:val="en-US" w:eastAsia="zh-CN" w:bidi="ar-SA"/>
        </w:rPr>
        <w:t>？%或</w:t>
      </w:r>
      <w:r>
        <w:rPr>
          <w:rFonts w:hint="eastAsia" w:ascii="Times New Roman" w:hAnsi="Times New Roman" w:cs="Times New Roman"/>
          <w:kern w:val="2"/>
          <w:sz w:val="30"/>
          <w:szCs w:val="30"/>
          <w:lang w:val="en-US" w:bidi="ar-SA"/>
        </w:rPr>
        <w:t>100%以及确认的分配量；非过评B采购单拟中选产品获得确认的分配量。</w:t>
      </w:r>
    </w:p>
    <w:p>
      <w:pPr>
        <w:autoSpaceDE/>
        <w:autoSpaceDN/>
        <w:spacing w:line="600" w:lineRule="exact"/>
        <w:ind w:firstLine="602" w:firstLineChars="200"/>
        <w:jc w:val="both"/>
        <w:rPr>
          <w:rFonts w:ascii="Times New Roman" w:hAnsi="Times New Roman" w:cs="Times New Roman"/>
          <w:b/>
          <w:bCs/>
          <w:kern w:val="2"/>
          <w:sz w:val="30"/>
          <w:szCs w:val="30"/>
          <w:lang w:val="en-US" w:bidi="ar-SA"/>
        </w:rPr>
      </w:pPr>
      <w:r>
        <w:rPr>
          <w:rFonts w:ascii="Times New Roman" w:hAnsi="Times New Roman" w:cs="Times New Roman"/>
          <w:b/>
          <w:bCs/>
          <w:kern w:val="2"/>
          <w:sz w:val="30"/>
          <w:szCs w:val="30"/>
          <w:lang w:val="en-US" w:bidi="ar-SA"/>
        </w:rPr>
        <w:t>（</w:t>
      </w:r>
      <w:r>
        <w:rPr>
          <w:rFonts w:hint="eastAsia" w:ascii="Times New Roman" w:hAnsi="Times New Roman" w:cs="Times New Roman"/>
          <w:b/>
          <w:bCs/>
          <w:kern w:val="2"/>
          <w:sz w:val="30"/>
          <w:szCs w:val="30"/>
          <w:lang w:val="en-US" w:bidi="ar-SA"/>
        </w:rPr>
        <w:t>八</w:t>
      </w:r>
      <w:r>
        <w:rPr>
          <w:rFonts w:ascii="Times New Roman" w:hAnsi="Times New Roman" w:cs="Times New Roman"/>
          <w:b/>
          <w:bCs/>
          <w:kern w:val="2"/>
          <w:sz w:val="30"/>
          <w:szCs w:val="30"/>
          <w:lang w:val="en-US" w:bidi="ar-SA"/>
        </w:rPr>
        <w:t>）确定中选结果</w:t>
      </w:r>
    </w:p>
    <w:p>
      <w:pPr>
        <w:autoSpaceDE/>
        <w:autoSpaceDN/>
        <w:spacing w:line="600" w:lineRule="exact"/>
        <w:ind w:firstLine="600" w:firstLineChars="200"/>
        <w:jc w:val="both"/>
        <w:rPr>
          <w:rFonts w:hint="default" w:ascii="Times New Roman" w:hAnsi="Times New Roman" w:cs="Times New Roman"/>
          <w:kern w:val="2"/>
          <w:sz w:val="30"/>
          <w:szCs w:val="30"/>
          <w:lang w:val="en-US" w:eastAsia="zh-CN" w:bidi="ar-SA"/>
        </w:rPr>
      </w:pPr>
      <w:bookmarkStart w:id="35" w:name="_Toc18277"/>
      <w:bookmarkStart w:id="36" w:name="_Toc57277301"/>
      <w:r>
        <w:rPr>
          <w:rFonts w:ascii="Times New Roman" w:hAnsi="Times New Roman" w:cs="Times New Roman"/>
          <w:kern w:val="2"/>
          <w:sz w:val="30"/>
          <w:szCs w:val="30"/>
          <w:lang w:val="en-US" w:bidi="ar-SA"/>
        </w:rPr>
        <w:t>依据医疗机构确认的最终报量</w:t>
      </w:r>
      <w:r>
        <w:rPr>
          <w:rFonts w:hint="eastAsia" w:ascii="Times New Roman" w:hAnsi="Times New Roman" w:cs="Times New Roman"/>
          <w:kern w:val="2"/>
          <w:sz w:val="30"/>
          <w:szCs w:val="30"/>
          <w:lang w:val="en-US" w:bidi="ar-SA"/>
        </w:rPr>
        <w:t>作为拟中选产品对应的首年预采购量。A、B采购单的所有拟中选产品以及对应的首年预采购量为本次集团采购的中选结果。</w:t>
      </w:r>
      <w:r>
        <w:rPr>
          <w:rFonts w:hint="eastAsia" w:ascii="Times New Roman" w:hAnsi="Times New Roman" w:cs="Times New Roman"/>
          <w:kern w:val="2"/>
          <w:sz w:val="30"/>
          <w:szCs w:val="30"/>
          <w:lang w:val="en-US" w:eastAsia="zh-CN" w:bidi="ar-SA"/>
        </w:rPr>
        <w:t>当确认后的最终报量超过本企业首年预采购量的？%或100%的，其中选价格按照本企业第2梯级报价与第五条拟中选产品确定第（四）项A/B采购单拟中选价格的确定规则对比确定后的价格执行。</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省药交中心将发布中选通知。并以公证书的方式递交联盟地区的省级医疗保障局。</w:t>
      </w:r>
    </w:p>
    <w:p>
      <w:pPr>
        <w:autoSpaceDE/>
        <w:autoSpaceDN/>
        <w:spacing w:line="600" w:lineRule="exact"/>
        <w:ind w:firstLine="602" w:firstLineChars="200"/>
        <w:jc w:val="both"/>
        <w:rPr>
          <w:rFonts w:ascii="Times New Roman" w:hAnsi="Times New Roman" w:cs="Times New Roman"/>
          <w:b/>
          <w:bCs/>
          <w:kern w:val="2"/>
          <w:sz w:val="30"/>
          <w:szCs w:val="30"/>
          <w:lang w:val="en-US" w:bidi="ar-SA"/>
        </w:rPr>
      </w:pPr>
      <w:r>
        <w:rPr>
          <w:rFonts w:hint="eastAsia" w:ascii="Times New Roman" w:hAnsi="Times New Roman" w:cs="Times New Roman"/>
          <w:b/>
          <w:bCs/>
          <w:kern w:val="2"/>
          <w:sz w:val="30"/>
          <w:szCs w:val="30"/>
          <w:lang w:val="en-US" w:bidi="ar-SA"/>
        </w:rPr>
        <w:t>（九）增量</w:t>
      </w:r>
      <w:r>
        <w:rPr>
          <w:rFonts w:hint="eastAsia" w:ascii="Times New Roman" w:hAnsi="Times New Roman" w:cs="Times New Roman"/>
          <w:b/>
          <w:bCs/>
          <w:kern w:val="2"/>
          <w:sz w:val="30"/>
          <w:szCs w:val="30"/>
          <w:lang w:val="en-US" w:eastAsia="zh-CN" w:bidi="ar-SA"/>
        </w:rPr>
        <w:t>采购使用</w:t>
      </w:r>
      <w:r>
        <w:rPr>
          <w:rFonts w:hint="eastAsia" w:ascii="Times New Roman" w:hAnsi="Times New Roman" w:cs="Times New Roman"/>
          <w:b/>
          <w:bCs/>
          <w:kern w:val="2"/>
          <w:sz w:val="30"/>
          <w:szCs w:val="30"/>
          <w:lang w:val="en-US" w:bidi="ar-SA"/>
        </w:rPr>
        <w:t>约定</w:t>
      </w:r>
    </w:p>
    <w:p>
      <w:pPr>
        <w:pStyle w:val="2"/>
        <w:spacing w:line="600" w:lineRule="exact"/>
        <w:ind w:firstLine="600" w:firstLineChars="200"/>
        <w:rPr>
          <w:rFonts w:hint="default" w:ascii="Times New Roman" w:hAnsi="Times New Roman" w:eastAsia="仿宋"/>
          <w:color w:val="auto"/>
          <w:kern w:val="2"/>
          <w:sz w:val="30"/>
          <w:szCs w:val="30"/>
        </w:rPr>
      </w:pPr>
      <w:r>
        <w:rPr>
          <w:rFonts w:ascii="Times New Roman" w:hAnsi="Times New Roman" w:eastAsia="仿宋"/>
          <w:color w:val="auto"/>
          <w:kern w:val="2"/>
          <w:sz w:val="30"/>
          <w:szCs w:val="30"/>
        </w:rPr>
        <w:t>在采购年度内，医疗机构增量的使用原则上优先使用中选产品，使用比例不低于增量的80%。</w:t>
      </w:r>
    </w:p>
    <w:p>
      <w:pPr>
        <w:autoSpaceDE/>
        <w:autoSpaceDN/>
        <w:spacing w:line="560" w:lineRule="exact"/>
        <w:ind w:firstLine="600" w:firstLineChars="200"/>
        <w:jc w:val="both"/>
        <w:rPr>
          <w:rFonts w:hint="eastAsia" w:ascii="黑体" w:hAnsi="黑体" w:eastAsia="黑体" w:cs="黑体"/>
          <w:kern w:val="2"/>
          <w:sz w:val="30"/>
          <w:szCs w:val="30"/>
          <w:lang w:val="en-US" w:bidi="ar-SA"/>
        </w:rPr>
      </w:pPr>
      <w:r>
        <w:rPr>
          <w:rFonts w:hint="eastAsia" w:ascii="黑体" w:hAnsi="黑体" w:eastAsia="黑体" w:cs="黑体"/>
          <w:kern w:val="2"/>
          <w:sz w:val="30"/>
          <w:szCs w:val="30"/>
          <w:lang w:val="en-US" w:bidi="ar-SA"/>
        </w:rPr>
        <w:t>六、</w:t>
      </w:r>
      <w:bookmarkEnd w:id="35"/>
      <w:r>
        <w:rPr>
          <w:rFonts w:hint="eastAsia" w:ascii="黑体" w:hAnsi="黑体" w:eastAsia="黑体" w:cs="黑体"/>
          <w:kern w:val="2"/>
          <w:sz w:val="30"/>
          <w:szCs w:val="30"/>
          <w:lang w:val="en-US" w:bidi="ar-SA"/>
        </w:rPr>
        <w:t>采购协议</w:t>
      </w:r>
      <w:bookmarkEnd w:id="36"/>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1.省药交中心发布中选通知后，按照中选企业及其中选价格在省平台上完成挂网工作，省内交易各方签订采购协议（</w:t>
      </w:r>
      <w:r>
        <w:rPr>
          <w:rFonts w:ascii="Times New Roman" w:hAnsi="Times New Roman" w:cs="Times New Roman"/>
          <w:kern w:val="2"/>
          <w:sz w:val="30"/>
          <w:szCs w:val="30"/>
          <w:lang w:val="en-US" w:bidi="ar-SA"/>
        </w:rPr>
        <w:t>附件2）并执行。</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eastAsia="zh-CN" w:bidi="ar-SA"/>
        </w:rPr>
        <w:t>2</w:t>
      </w:r>
      <w:r>
        <w:rPr>
          <w:rFonts w:ascii="Times New Roman" w:hAnsi="Times New Roman" w:cs="Times New Roman"/>
          <w:kern w:val="2"/>
          <w:sz w:val="30"/>
          <w:szCs w:val="30"/>
          <w:lang w:val="en-US" w:bidi="ar-SA"/>
        </w:rPr>
        <w:t>.联盟地区省医疗保障部门</w:t>
      </w:r>
      <w:r>
        <w:rPr>
          <w:rFonts w:hint="eastAsia" w:ascii="Times New Roman" w:hAnsi="Times New Roman" w:cs="Times New Roman"/>
          <w:kern w:val="2"/>
          <w:sz w:val="30"/>
          <w:szCs w:val="30"/>
          <w:lang w:val="en-US" w:eastAsia="zh-CN" w:bidi="ar-SA"/>
        </w:rPr>
        <w:t>自行确定本次中选结果，并</w:t>
      </w:r>
      <w:r>
        <w:rPr>
          <w:rFonts w:ascii="Times New Roman" w:hAnsi="Times New Roman" w:cs="Times New Roman"/>
          <w:kern w:val="2"/>
          <w:sz w:val="30"/>
          <w:szCs w:val="30"/>
          <w:lang w:val="en-US" w:bidi="ar-SA"/>
        </w:rPr>
        <w:t>组织签订采购协议。</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eastAsia="zh-CN" w:bidi="ar-SA"/>
        </w:rPr>
        <w:t>3</w:t>
      </w:r>
      <w:r>
        <w:rPr>
          <w:rFonts w:ascii="Times New Roman" w:hAnsi="Times New Roman" w:cs="Times New Roman"/>
          <w:kern w:val="2"/>
          <w:sz w:val="30"/>
          <w:szCs w:val="30"/>
          <w:lang w:val="en-US" w:bidi="ar-SA"/>
        </w:rPr>
        <w:t>.采购协议签订后，采购方与中选企业不得再订立背离采购协议实质性内容的其他协议，或提出除采购协议之外的任何利益性要求。</w:t>
      </w:r>
    </w:p>
    <w:p>
      <w:pPr>
        <w:autoSpaceDE/>
        <w:autoSpaceDN/>
        <w:spacing w:line="560" w:lineRule="exact"/>
        <w:ind w:firstLine="600" w:firstLineChars="200"/>
        <w:jc w:val="both"/>
        <w:rPr>
          <w:rFonts w:hint="eastAsia" w:ascii="黑体" w:hAnsi="黑体" w:eastAsia="黑体" w:cs="黑体"/>
          <w:kern w:val="2"/>
          <w:sz w:val="30"/>
          <w:szCs w:val="30"/>
          <w:lang w:val="en-US" w:bidi="ar-SA"/>
        </w:rPr>
      </w:pPr>
      <w:r>
        <w:rPr>
          <w:rFonts w:hint="eastAsia" w:ascii="黑体" w:hAnsi="黑体" w:eastAsia="黑体" w:cs="黑体"/>
          <w:kern w:val="2"/>
          <w:sz w:val="30"/>
          <w:szCs w:val="30"/>
          <w:lang w:val="en-US" w:bidi="ar-SA"/>
        </w:rPr>
        <w:t>七、其他</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（一）</w:t>
      </w:r>
      <w:r>
        <w:rPr>
          <w:rFonts w:ascii="Times New Roman" w:hAnsi="Times New Roman" w:cs="Times New Roman"/>
          <w:kern w:val="2"/>
          <w:sz w:val="30"/>
          <w:szCs w:val="30"/>
          <w:lang w:val="en-US" w:bidi="ar-SA"/>
        </w:rPr>
        <w:t>本次参与联盟地区集团采购的省医疗机构确认待分配量工作，原则上2021年</w:t>
      </w:r>
      <w:r>
        <w:rPr>
          <w:rFonts w:hint="eastAsia" w:ascii="Times New Roman" w:hAnsi="Times New Roman" w:cs="Times New Roman"/>
          <w:kern w:val="2"/>
          <w:sz w:val="30"/>
          <w:szCs w:val="30"/>
          <w:lang w:val="en-US" w:bidi="ar-SA"/>
        </w:rPr>
        <w:t>*</w:t>
      </w:r>
      <w:r>
        <w:rPr>
          <w:rFonts w:ascii="Times New Roman" w:hAnsi="Times New Roman" w:cs="Times New Roman"/>
          <w:kern w:val="2"/>
          <w:sz w:val="30"/>
          <w:szCs w:val="30"/>
          <w:lang w:val="en-US" w:bidi="ar-SA"/>
        </w:rPr>
        <w:t>月</w:t>
      </w:r>
      <w:r>
        <w:rPr>
          <w:rFonts w:hint="eastAsia" w:ascii="Times New Roman" w:hAnsi="Times New Roman" w:cs="Times New Roman"/>
          <w:kern w:val="2"/>
          <w:sz w:val="30"/>
          <w:szCs w:val="30"/>
          <w:lang w:val="en-US" w:bidi="ar-SA"/>
        </w:rPr>
        <w:t>*</w:t>
      </w:r>
      <w:r>
        <w:rPr>
          <w:rFonts w:ascii="Times New Roman" w:hAnsi="Times New Roman" w:cs="Times New Roman"/>
          <w:kern w:val="2"/>
          <w:sz w:val="30"/>
          <w:szCs w:val="30"/>
          <w:lang w:val="en-US" w:bidi="ar-SA"/>
        </w:rPr>
        <w:t>日前完成后上传广东省平台。</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hint="eastAsia" w:ascii="Times New Roman" w:hAnsi="Times New Roman" w:cs="Times New Roman"/>
          <w:kern w:val="2"/>
          <w:sz w:val="30"/>
          <w:szCs w:val="30"/>
          <w:lang w:val="en-US" w:bidi="ar-SA"/>
        </w:rPr>
        <w:t>（二）本次药品集团带量采购未中选产品的挂网采购按照《广东省第三方药品电子交易平台关于实施药品挂网采购的公告》要求执行。</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在采购周期内，若国家和省有新规定的，从其规定。</w:t>
      </w:r>
    </w:p>
    <w:p>
      <w:pPr>
        <w:autoSpaceDE/>
        <w:autoSpaceDN/>
        <w:spacing w:line="60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w:t>
      </w:r>
      <w:r>
        <w:rPr>
          <w:rFonts w:hint="eastAsia" w:ascii="Times New Roman" w:hAnsi="Times New Roman" w:cs="Times New Roman"/>
          <w:kern w:val="2"/>
          <w:sz w:val="30"/>
          <w:szCs w:val="30"/>
          <w:lang w:val="en-US" w:bidi="ar-SA"/>
        </w:rPr>
        <w:t>三</w:t>
      </w:r>
      <w:r>
        <w:rPr>
          <w:rFonts w:ascii="Times New Roman" w:hAnsi="Times New Roman" w:cs="Times New Roman"/>
          <w:kern w:val="2"/>
          <w:sz w:val="30"/>
          <w:szCs w:val="30"/>
          <w:lang w:val="en-US" w:bidi="ar-SA"/>
        </w:rPr>
        <w:t>）其他事项</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1.中选品种出现被药品监督管理部门暂停生产、销售、使用、进口等情况，取消中选资格。</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2.中选企业出现中选品种无法供应或取消中选资格等情况， 致使协议无法继续履行时，由医疗机构在中选产品中自主选择替补供应企业，由替补企业按替补企业中选价进行供应，因保障供应产生的额外支出由无法履行协议的企业承担。</w:t>
      </w:r>
    </w:p>
    <w:p>
      <w:pPr>
        <w:autoSpaceDE/>
        <w:autoSpaceDN/>
        <w:spacing w:line="560" w:lineRule="exact"/>
        <w:ind w:firstLine="600" w:firstLineChars="200"/>
        <w:jc w:val="both"/>
        <w:rPr>
          <w:rFonts w:ascii="Times New Roman" w:hAnsi="Times New Roman" w:cs="Times New Roman"/>
          <w:kern w:val="2"/>
          <w:sz w:val="30"/>
          <w:szCs w:val="30"/>
          <w:lang w:val="en-US" w:bidi="ar-SA"/>
        </w:rPr>
      </w:pPr>
      <w:r>
        <w:rPr>
          <w:rFonts w:ascii="Times New Roman" w:hAnsi="Times New Roman" w:cs="Times New Roman"/>
          <w:kern w:val="2"/>
          <w:sz w:val="30"/>
          <w:szCs w:val="30"/>
          <w:lang w:val="en-US" w:bidi="ar-SA"/>
        </w:rPr>
        <w:t>（</w:t>
      </w:r>
      <w:r>
        <w:rPr>
          <w:rFonts w:hint="eastAsia" w:ascii="Times New Roman" w:hAnsi="Times New Roman" w:cs="Times New Roman"/>
          <w:kern w:val="2"/>
          <w:sz w:val="30"/>
          <w:szCs w:val="30"/>
          <w:lang w:val="en-US" w:bidi="ar-SA"/>
        </w:rPr>
        <w:t>三</w:t>
      </w:r>
      <w:r>
        <w:rPr>
          <w:rFonts w:ascii="Times New Roman" w:hAnsi="Times New Roman" w:cs="Times New Roman"/>
          <w:kern w:val="2"/>
          <w:sz w:val="30"/>
          <w:szCs w:val="30"/>
          <w:lang w:val="en-US" w:bidi="ar-SA"/>
        </w:rPr>
        <w:t>）本采购文件仅适用于本次药品集团带量采购所述项目的药品及相关服务，最终解释权归省药交中心。</w:t>
      </w:r>
    </w:p>
    <w:p>
      <w:pPr>
        <w:rPr>
          <w:sz w:val="32"/>
          <w:szCs w:val="32"/>
          <w:lang w:val="en-US"/>
        </w:rPr>
      </w:pPr>
      <w:r>
        <w:rPr>
          <w:rFonts w:ascii="Times New Roman" w:hAnsi="Times New Roman" w:cs="Times New Roman"/>
          <w:kern w:val="2"/>
          <w:sz w:val="30"/>
          <w:szCs w:val="30"/>
          <w:lang w:val="en-US" w:bidi="ar-SA"/>
        </w:rPr>
        <w:br w:type="page"/>
      </w:r>
      <w:r>
        <w:rPr>
          <w:rFonts w:hint="eastAsia" w:ascii="Times New Roman" w:hAnsi="Times New Roman" w:cs="Times New Roman"/>
          <w:kern w:val="2"/>
          <w:sz w:val="30"/>
          <w:szCs w:val="30"/>
          <w:lang w:val="en-US" w:bidi="ar-SA"/>
        </w:rPr>
        <w:t xml:space="preserve"> </w:t>
      </w:r>
      <w:bookmarkStart w:id="37" w:name="_Toc57277304"/>
      <w:bookmarkStart w:id="38" w:name="_Toc6023"/>
      <w:bookmarkStart w:id="39" w:name="_Toc17748598"/>
      <w:r>
        <w:rPr>
          <w:rFonts w:hint="eastAsia"/>
          <w:sz w:val="32"/>
          <w:szCs w:val="32"/>
          <w:lang w:val="en-US"/>
        </w:rPr>
        <w:t>附件1：</w:t>
      </w:r>
    </w:p>
    <w:p>
      <w:pPr>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医药企业价格和营销行为信用承诺</w:t>
      </w:r>
      <w:bookmarkEnd w:id="37"/>
      <w:r>
        <w:rPr>
          <w:rFonts w:hint="eastAsia" w:ascii="华文中宋" w:hAnsi="华文中宋" w:eastAsia="华文中宋" w:cs="华文中宋"/>
          <w:sz w:val="44"/>
          <w:szCs w:val="44"/>
        </w:rPr>
        <w:t>书</w:t>
      </w:r>
    </w:p>
    <w:p>
      <w:pPr>
        <w:spacing w:line="540" w:lineRule="exact"/>
        <w:rPr>
          <w:rFonts w:ascii="Times New Roman" w:hAnsi="Times New Roman" w:cs="Times New Roman"/>
          <w:sz w:val="32"/>
          <w:szCs w:val="32"/>
        </w:rPr>
      </w:pPr>
    </w:p>
    <w:p>
      <w:pPr>
        <w:spacing w:line="56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广东省药品交易中心：</w:t>
      </w:r>
    </w:p>
    <w:p>
      <w:pPr>
        <w:spacing w:line="560" w:lineRule="exact"/>
        <w:ind w:firstLine="6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我方</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lang w:val="en-US"/>
        </w:rPr>
        <w:t xml:space="preserve">                    </w:t>
      </w:r>
      <w:r>
        <w:rPr>
          <w:rFonts w:ascii="Times New Roman" w:hAnsi="Times New Roman" w:eastAsia="仿宋_GB2312" w:cs="Times New Roman"/>
          <w:sz w:val="32"/>
          <w:szCs w:val="32"/>
          <w:lang w:val="en-US"/>
        </w:rPr>
        <w:t>（×××公司），在</w:t>
      </w:r>
      <w:r>
        <w:rPr>
          <w:rFonts w:ascii="Times New Roman" w:hAnsi="Times New Roman" w:eastAsia="仿宋_GB2312" w:cs="Times New Roman"/>
          <w:sz w:val="32"/>
          <w:szCs w:val="32"/>
        </w:rPr>
        <w:t>充分理解</w:t>
      </w:r>
      <w:r>
        <w:rPr>
          <w:rFonts w:ascii="Times New Roman" w:hAnsi="Times New Roman" w:eastAsia="仿宋_GB2312" w:cs="Times New Roman"/>
          <w:sz w:val="32"/>
          <w:szCs w:val="32"/>
          <w:lang w:val="en-US"/>
        </w:rPr>
        <w:t>阿莫西林等45个药品联盟地区集团带量采购文件</w:t>
      </w:r>
      <w:r>
        <w:rPr>
          <w:rFonts w:ascii="Times New Roman" w:hAnsi="Times New Roman" w:eastAsia="仿宋_GB2312" w:cs="Times New Roman"/>
          <w:sz w:val="32"/>
          <w:szCs w:val="32"/>
        </w:rPr>
        <w:t>（编号：GDYJYPDL20210</w:t>
      </w:r>
      <w:r>
        <w:rPr>
          <w:rFonts w:hint="eastAsia" w:ascii="Times New Roman" w:hAnsi="Times New Roman" w:eastAsia="仿宋_GB2312" w:cs="Times New Roman"/>
          <w:sz w:val="32"/>
          <w:szCs w:val="32"/>
          <w:lang w:val="en-US"/>
        </w:rPr>
        <w:t>2</w:t>
      </w:r>
      <w:r>
        <w:rPr>
          <w:rFonts w:ascii="Times New Roman" w:hAnsi="Times New Roman" w:eastAsia="仿宋_GB2312" w:cs="Times New Roman"/>
          <w:sz w:val="32"/>
          <w:szCs w:val="32"/>
        </w:rPr>
        <w:t>）后，决定按照采购文件的规定参与申报。我方保证申报的价格及其他相关证明材料的真实性、合法性、有效性。</w:t>
      </w:r>
    </w:p>
    <w:p>
      <w:pPr>
        <w:spacing w:line="560" w:lineRule="exact"/>
        <w:ind w:firstLine="6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我方已充分考虑原材料价格等因素并承诺申报价不低于本企业该品种成本价。我方完全理解及遵守采购文件中的中选</w:t>
      </w:r>
      <w:r>
        <w:rPr>
          <w:rFonts w:ascii="Times New Roman" w:hAnsi="Times New Roman" w:eastAsia="仿宋_GB2312" w:cs="Times New Roman"/>
          <w:sz w:val="32"/>
          <w:szCs w:val="32"/>
          <w:lang w:val="en-US"/>
        </w:rPr>
        <w:t>药品</w:t>
      </w:r>
      <w:r>
        <w:rPr>
          <w:rFonts w:ascii="Times New Roman" w:hAnsi="Times New Roman" w:eastAsia="仿宋_GB2312" w:cs="Times New Roman"/>
          <w:sz w:val="32"/>
          <w:szCs w:val="32"/>
        </w:rPr>
        <w:t>确认规则，理解贵方不一定要接受最低申报价的申报，所有分组不一定有中选结果。</w:t>
      </w:r>
    </w:p>
    <w:p>
      <w:pPr>
        <w:spacing w:line="560" w:lineRule="exact"/>
        <w:ind w:firstLine="6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我方就参与本次</w:t>
      </w:r>
      <w:r>
        <w:rPr>
          <w:rFonts w:ascii="Times New Roman" w:hAnsi="Times New Roman" w:eastAsia="仿宋_GB2312" w:cs="Times New Roman"/>
          <w:sz w:val="32"/>
          <w:szCs w:val="32"/>
          <w:lang w:val="en-US"/>
        </w:rPr>
        <w:t>联盟地区药品</w:t>
      </w:r>
      <w:r>
        <w:rPr>
          <w:rFonts w:ascii="Times New Roman" w:hAnsi="Times New Roman" w:eastAsia="仿宋_GB2312" w:cs="Times New Roman"/>
          <w:sz w:val="32"/>
          <w:szCs w:val="32"/>
        </w:rPr>
        <w:t>集团带量采购，郑重做出以下承诺：</w:t>
      </w:r>
    </w:p>
    <w:p>
      <w:pPr>
        <w:spacing w:line="560" w:lineRule="exact"/>
        <w:ind w:firstLine="600"/>
        <w:jc w:val="both"/>
        <w:rPr>
          <w:rFonts w:ascii="黑体" w:hAnsi="黑体" w:eastAsia="黑体" w:cs="黑体"/>
          <w:sz w:val="32"/>
          <w:szCs w:val="32"/>
        </w:rPr>
      </w:pPr>
      <w:r>
        <w:rPr>
          <w:rFonts w:hint="eastAsia" w:ascii="黑体" w:hAnsi="黑体" w:eastAsia="黑体" w:cs="黑体"/>
          <w:sz w:val="32"/>
          <w:szCs w:val="32"/>
        </w:rPr>
        <w:t>一、严守法纪、恪守诚信</w:t>
      </w:r>
    </w:p>
    <w:p>
      <w:pPr>
        <w:spacing w:line="560" w:lineRule="exact"/>
        <w:ind w:firstLine="6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（一）我方承诺，自觉遵守《民法典》《合同法》《价格法》《药品管理法》《反不正当竞争法》《反垄断法》等法律法规，医药价格和招标采购的政策，以及</w:t>
      </w:r>
      <w:r>
        <w:rPr>
          <w:rFonts w:ascii="Times New Roman" w:hAnsi="Times New Roman" w:eastAsia="仿宋_GB2312" w:cs="Times New Roman"/>
          <w:sz w:val="32"/>
          <w:szCs w:val="32"/>
          <w:lang w:val="en-US"/>
        </w:rPr>
        <w:t>联盟地区药品集团带量采购</w:t>
      </w:r>
      <w:r>
        <w:rPr>
          <w:rFonts w:ascii="Times New Roman" w:hAnsi="Times New Roman" w:eastAsia="仿宋_GB2312" w:cs="Times New Roman"/>
          <w:sz w:val="32"/>
          <w:szCs w:val="32"/>
        </w:rPr>
        <w:t>之规定，诚信经营，共同营造公平的交易环境。</w:t>
      </w:r>
    </w:p>
    <w:p>
      <w:pPr>
        <w:spacing w:line="560" w:lineRule="exact"/>
        <w:ind w:firstLine="6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（二）我方承诺，不向采购我方药品的医疗机构管理人员、采购人员、医师、药师等有关人员给予回扣或其他不正当利益。</w:t>
      </w:r>
    </w:p>
    <w:p>
      <w:pPr>
        <w:spacing w:line="560" w:lineRule="exact"/>
        <w:ind w:firstLine="6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（三）我方承诺，不实施虚开虚受增值税发票及其他形式虚构服务套现洗钱行为。</w:t>
      </w:r>
    </w:p>
    <w:p>
      <w:pPr>
        <w:spacing w:line="560" w:lineRule="exact"/>
        <w:ind w:firstLine="6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（四）我方承诺，不利用</w:t>
      </w:r>
      <w:r>
        <w:rPr>
          <w:rFonts w:ascii="Times New Roman" w:hAnsi="Times New Roman" w:eastAsia="仿宋_GB2312" w:cs="Times New Roman"/>
          <w:sz w:val="32"/>
          <w:szCs w:val="32"/>
          <w:lang w:val="en-US"/>
        </w:rPr>
        <w:t>药品</w:t>
      </w:r>
      <w:r>
        <w:rPr>
          <w:rFonts w:ascii="Times New Roman" w:hAnsi="Times New Roman" w:eastAsia="仿宋_GB2312" w:cs="Times New Roman"/>
          <w:sz w:val="32"/>
          <w:szCs w:val="32"/>
        </w:rPr>
        <w:t>垄断地位或市场支配地位，操纵</w:t>
      </w:r>
      <w:r>
        <w:rPr>
          <w:rFonts w:ascii="Times New Roman" w:hAnsi="Times New Roman" w:eastAsia="仿宋_GB2312" w:cs="Times New Roman"/>
          <w:sz w:val="32"/>
          <w:szCs w:val="32"/>
          <w:lang w:val="en-US"/>
        </w:rPr>
        <w:t>药品</w:t>
      </w:r>
      <w:r>
        <w:rPr>
          <w:rFonts w:ascii="Times New Roman" w:hAnsi="Times New Roman" w:eastAsia="仿宋_GB2312" w:cs="Times New Roman"/>
          <w:sz w:val="32"/>
          <w:szCs w:val="32"/>
        </w:rPr>
        <w:t>价格和供应牟取暴利。不针对不同群体、不同渠道制定实施明显不合理的差异化定价。</w:t>
      </w:r>
    </w:p>
    <w:p>
      <w:pPr>
        <w:spacing w:line="560" w:lineRule="exact"/>
        <w:ind w:firstLine="600"/>
        <w:jc w:val="both"/>
        <w:rPr>
          <w:rFonts w:ascii="黑体" w:hAnsi="黑体" w:eastAsia="黑体" w:cs="黑体"/>
          <w:sz w:val="32"/>
          <w:szCs w:val="32"/>
        </w:rPr>
      </w:pPr>
      <w:r>
        <w:rPr>
          <w:rFonts w:ascii="黑体" w:hAnsi="黑体" w:eastAsia="黑体" w:cs="黑体"/>
          <w:sz w:val="32"/>
          <w:szCs w:val="32"/>
        </w:rPr>
        <w:t>二、履行合同、配合监管</w:t>
      </w:r>
    </w:p>
    <w:p>
      <w:pPr>
        <w:spacing w:line="560" w:lineRule="exact"/>
        <w:ind w:firstLine="6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（一）我方承诺，具有履行协议必须具备的</w:t>
      </w:r>
      <w:r>
        <w:rPr>
          <w:rFonts w:ascii="Times New Roman" w:hAnsi="Times New Roman" w:eastAsia="仿宋_GB2312" w:cs="Times New Roman"/>
          <w:sz w:val="32"/>
          <w:szCs w:val="32"/>
          <w:lang w:val="en-US"/>
        </w:rPr>
        <w:t>药品</w:t>
      </w:r>
      <w:r>
        <w:rPr>
          <w:rFonts w:ascii="Times New Roman" w:hAnsi="Times New Roman" w:eastAsia="仿宋_GB2312" w:cs="Times New Roman"/>
          <w:sz w:val="32"/>
          <w:szCs w:val="32"/>
        </w:rPr>
        <w:t>供应能力，除我方不可抗的因素造成供应困难外，保证在采购周期按照中选价格及时足量供应</w:t>
      </w:r>
      <w:r>
        <w:rPr>
          <w:rFonts w:ascii="Times New Roman" w:hAnsi="Times New Roman" w:eastAsia="仿宋_GB2312" w:cs="Times New Roman"/>
          <w:sz w:val="32"/>
          <w:szCs w:val="32"/>
          <w:lang w:val="en-US"/>
        </w:rPr>
        <w:t>药品</w:t>
      </w:r>
      <w:r>
        <w:rPr>
          <w:rFonts w:ascii="Times New Roman" w:hAnsi="Times New Roman" w:eastAsia="仿宋_GB2312" w:cs="Times New Roman"/>
          <w:sz w:val="32"/>
          <w:szCs w:val="32"/>
        </w:rPr>
        <w:t>，满足临床需求。</w:t>
      </w:r>
    </w:p>
    <w:p>
      <w:pPr>
        <w:spacing w:line="560" w:lineRule="exact"/>
        <w:ind w:firstLine="6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w:t>
      </w:r>
      <w:r>
        <w:rPr>
          <w:rFonts w:ascii="Times New Roman" w:hAnsi="Times New Roman" w:eastAsia="仿宋_GB2312" w:cs="Times New Roman"/>
          <w:sz w:val="32"/>
          <w:szCs w:val="32"/>
          <w:lang w:val="en-US"/>
        </w:rPr>
        <w:t>药品</w:t>
      </w:r>
      <w:r>
        <w:rPr>
          <w:rFonts w:ascii="Times New Roman" w:hAnsi="Times New Roman" w:eastAsia="仿宋_GB2312" w:cs="Times New Roman"/>
          <w:sz w:val="32"/>
          <w:szCs w:val="32"/>
        </w:rPr>
        <w:t>价格的，我方承诺在上述情形终止后，及时纠正价格。</w:t>
      </w:r>
    </w:p>
    <w:p>
      <w:pPr>
        <w:autoSpaceDE/>
        <w:autoSpaceDN/>
        <w:spacing w:line="560" w:lineRule="exact"/>
        <w:ind w:firstLine="6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（三）我方承诺，及时、全面、完整、规范申报失信信息，不漏报，不瞒报，不推诿。</w:t>
      </w:r>
    </w:p>
    <w:p>
      <w:pPr>
        <w:spacing w:line="560" w:lineRule="exact"/>
        <w:ind w:firstLine="600"/>
        <w:jc w:val="both"/>
        <w:rPr>
          <w:rFonts w:ascii="黑体" w:hAnsi="黑体" w:eastAsia="黑体" w:cs="黑体"/>
          <w:sz w:val="32"/>
          <w:szCs w:val="32"/>
        </w:rPr>
      </w:pPr>
      <w:r>
        <w:rPr>
          <w:rFonts w:ascii="黑体" w:hAnsi="黑体" w:eastAsia="黑体" w:cs="黑体"/>
          <w:sz w:val="32"/>
          <w:szCs w:val="32"/>
        </w:rPr>
        <w:t>三、违约担责、接受处置</w:t>
      </w:r>
    </w:p>
    <w:p>
      <w:pPr>
        <w:autoSpaceDE/>
        <w:autoSpaceDN/>
        <w:spacing w:line="560" w:lineRule="exact"/>
        <w:ind w:firstLine="6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（一）我方承诺，如我方药品购销中存在违背已承诺事项的，我方愿意接受集中采购机构作出的信用评级结果以及结合信用等级实施的处置措施。</w:t>
      </w:r>
    </w:p>
    <w:p>
      <w:pPr>
        <w:autoSpaceDE/>
        <w:autoSpaceDN/>
        <w:spacing w:line="560" w:lineRule="exact"/>
        <w:ind w:firstLine="6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（二）我方承诺，严格管理员工（含雇佣关系，以及劳务派遣、购买服务、委托代理等关系），在法律法规允许的范围内从事经营活动。如果我方员工在我方</w:t>
      </w:r>
      <w:r>
        <w:rPr>
          <w:rFonts w:ascii="Times New Roman" w:hAnsi="Times New Roman" w:eastAsia="仿宋_GB2312" w:cs="Times New Roman"/>
          <w:sz w:val="32"/>
          <w:szCs w:val="32"/>
          <w:lang w:val="en-US"/>
        </w:rPr>
        <w:t>药品</w:t>
      </w:r>
      <w:r>
        <w:rPr>
          <w:rFonts w:ascii="Times New Roman" w:hAnsi="Times New Roman" w:eastAsia="仿宋_GB2312" w:cs="Times New Roman"/>
          <w:sz w:val="32"/>
          <w:szCs w:val="32"/>
        </w:rPr>
        <w:t>购销中因给予回扣或其他不正当利益的行为，受到司法机关、行政执法机关惩处，我方承诺承担失信违约责任，接受集中采购机构作出的信用评级结果以及结合信用等级实施的处置措施。</w:t>
      </w:r>
    </w:p>
    <w:p>
      <w:pPr>
        <w:autoSpaceDE/>
        <w:autoSpaceDN/>
        <w:spacing w:line="560" w:lineRule="exact"/>
        <w:ind w:firstLine="6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（三）我方承诺，严格约束委托代理人（具有委托代理关系的法人和自然人）在法律允许的范围内从事经营活动。如果受我方委托代理人，因涉及我方</w:t>
      </w:r>
      <w:r>
        <w:rPr>
          <w:rFonts w:ascii="Times New Roman" w:hAnsi="Times New Roman" w:eastAsia="仿宋_GB2312" w:cs="Times New Roman"/>
          <w:sz w:val="32"/>
          <w:szCs w:val="32"/>
          <w:lang w:val="en-US"/>
        </w:rPr>
        <w:t>药品</w:t>
      </w:r>
      <w:r>
        <w:rPr>
          <w:rFonts w:ascii="Times New Roman" w:hAnsi="Times New Roman" w:eastAsia="仿宋_GB2312" w:cs="Times New Roman"/>
          <w:sz w:val="32"/>
          <w:szCs w:val="32"/>
        </w:rPr>
        <w:t>的回扣等医药商业贿赂行为，受到司法机</w:t>
      </w:r>
      <w:r>
        <w:rPr>
          <w:rFonts w:ascii="Times New Roman" w:hAnsi="Times New Roman" w:eastAsia="仿宋_GB2312" w:cs="Times New Roman"/>
          <w:color w:val="000000" w:themeColor="text1"/>
          <w:sz w:val="32"/>
          <w:szCs w:val="32"/>
          <w14:textFill>
            <w14:solidFill>
              <w14:schemeClr w14:val="tx1"/>
            </w14:solidFill>
          </w14:textFill>
        </w:rPr>
        <w:t>关、行政执法机关惩处，我方承诺承担失信违约责任，接受集中采购机构作出的信用评级结果以及结合信用等级实施的处置措施。</w:t>
      </w:r>
    </w:p>
    <w:p>
      <w:pPr>
        <w:spacing w:line="560" w:lineRule="exact"/>
        <w:ind w:firstLine="6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（四）我方承诺，主动维护良好信用，必要时采取切实措施修复信用。</w:t>
      </w:r>
    </w:p>
    <w:p>
      <w:pPr>
        <w:spacing w:line="560" w:lineRule="exact"/>
        <w:ind w:firstLine="6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（五）我方承诺，药品不侵犯其他第三方合法权利，在申报、采购周期内， 如相关司法文书确定我方或我方所申报之药品侵犯第三方权利，或者司法文书对我方药品采取包括不限于禁止销售等保全措施的，我方同意在获悉上述情形后1日内主动暂停相关药品在采购平台的挂网交易，或由采购平台直接暂停挂网交易。相应产生的法律责任（包括不限于侵犯第三方权利的赔偿、无法履行采购协议的责任等）和损失均由我方自行承担。</w:t>
      </w:r>
    </w:p>
    <w:p>
      <w:pPr>
        <w:spacing w:line="560" w:lineRule="exact"/>
        <w:ind w:firstLine="6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六）我方承诺，在申报、采购周期内均持有药品的完整代理资格，如代理资格终止，同意贵中心取消我方作为本次采购申报企业或中选企业的资格并取消以我方名义在平台挂网交易中选药品之资格。相应产生的法律责任（包括不限于无法履行采购协议的责任等）和损失均由我方自行承担。</w:t>
      </w:r>
    </w:p>
    <w:p>
      <w:pPr>
        <w:autoSpaceDE/>
        <w:autoSpaceDN/>
        <w:spacing w:line="56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w:t>
      </w:r>
    </w:p>
    <w:p>
      <w:pPr>
        <w:pStyle w:val="2"/>
        <w:spacing w:line="560" w:lineRule="exact"/>
        <w:rPr>
          <w:rFonts w:hint="default" w:ascii="Times New Roman" w:hAnsi="Times New Roman" w:eastAsia="仿宋_GB2312"/>
          <w:color w:val="000000" w:themeColor="text1"/>
          <w:sz w:val="32"/>
          <w:szCs w:val="32"/>
          <w14:textFill>
            <w14:solidFill>
              <w14:schemeClr w14:val="tx1"/>
            </w14:solidFill>
          </w14:textFill>
        </w:rPr>
      </w:pPr>
    </w:p>
    <w:p>
      <w:pPr>
        <w:pStyle w:val="2"/>
        <w:spacing w:line="560" w:lineRule="exact"/>
        <w:rPr>
          <w:rFonts w:hint="default" w:ascii="Times New Roman" w:hAnsi="Times New Roman" w:eastAsia="仿宋_GB2312"/>
          <w:color w:val="000000" w:themeColor="text1"/>
          <w:sz w:val="32"/>
          <w:szCs w:val="32"/>
          <w14:textFill>
            <w14:solidFill>
              <w14:schemeClr w14:val="tx1"/>
            </w14:solidFill>
          </w14:textFill>
        </w:rPr>
      </w:pPr>
    </w:p>
    <w:p>
      <w:pPr>
        <w:autoSpaceDE/>
        <w:autoSpaceDN/>
        <w:spacing w:line="560" w:lineRule="exact"/>
        <w:ind w:firstLine="4480" w:firstLineChars="14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承诺企业（盖章）：</w:t>
      </w:r>
    </w:p>
    <w:p>
      <w:pPr>
        <w:autoSpaceDE/>
        <w:autoSpaceDN/>
        <w:spacing w:line="56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lang w:val="en-US"/>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法定代表人（签字）：</w:t>
      </w:r>
    </w:p>
    <w:p>
      <w:pPr>
        <w:autoSpaceDE/>
        <w:autoSpaceDN/>
        <w:spacing w:line="560" w:lineRule="exact"/>
        <w:ind w:firstLine="4800" w:firstLineChars="15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202  年  </w:t>
      </w:r>
      <w:r>
        <w:rPr>
          <w:rFonts w:ascii="Times New Roman" w:hAnsi="Times New Roman" w:eastAsia="仿宋_GB2312" w:cs="Times New Roman"/>
          <w:color w:val="000000" w:themeColor="text1"/>
          <w:sz w:val="32"/>
          <w:szCs w:val="32"/>
          <w:lang w:val="en-US"/>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 xml:space="preserve">月  </w:t>
      </w:r>
      <w:r>
        <w:rPr>
          <w:rFonts w:ascii="Times New Roman" w:hAnsi="Times New Roman" w:eastAsia="仿宋_GB2312" w:cs="Times New Roman"/>
          <w:color w:val="000000" w:themeColor="text1"/>
          <w:sz w:val="32"/>
          <w:szCs w:val="32"/>
          <w:lang w:val="en-US"/>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日</w:t>
      </w: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br w:type="page"/>
      </w:r>
    </w:p>
    <w:p>
      <w:pPr>
        <w:rPr>
          <w:rFonts w:ascii="Times New Roman" w:hAnsi="Times New Roman" w:cs="Times New Roman"/>
          <w:color w:val="000000" w:themeColor="text1"/>
          <w:sz w:val="32"/>
          <w:szCs w:val="32"/>
          <w:lang w:val="en-US"/>
          <w14:textFill>
            <w14:solidFill>
              <w14:schemeClr w14:val="tx1"/>
            </w14:solidFill>
          </w14:textFill>
        </w:rPr>
      </w:pPr>
      <w:r>
        <w:rPr>
          <w:rFonts w:hint="eastAsia" w:ascii="Times New Roman" w:hAnsi="Times New Roman" w:cs="Times New Roman"/>
          <w:color w:val="000000" w:themeColor="text1"/>
          <w:sz w:val="32"/>
          <w:szCs w:val="32"/>
          <w:lang w:val="en-US"/>
          <w14:textFill>
            <w14:solidFill>
              <w14:schemeClr w14:val="tx1"/>
            </w14:solidFill>
          </w14:textFill>
        </w:rPr>
        <w:t>附件2：</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合同编号：</w:t>
      </w:r>
    </w:p>
    <w:p>
      <w:pPr>
        <w:jc w:val="center"/>
        <w:rPr>
          <w:rFonts w:ascii="Times New Roman" w:hAnsi="Times New Roman" w:cs="Times New Roman"/>
          <w:color w:val="000000" w:themeColor="text1"/>
          <w14:textFill>
            <w14:solidFill>
              <w14:schemeClr w14:val="tx1"/>
            </w14:solidFill>
          </w14:textFill>
        </w:rPr>
      </w:pPr>
    </w:p>
    <w:p>
      <w:pPr>
        <w:spacing w:after="122" w:line="259" w:lineRule="auto"/>
        <w:ind w:left="10"/>
        <w:jc w:val="center"/>
        <w:rPr>
          <w:rFonts w:hint="eastAsia" w:ascii="华文中宋" w:hAnsi="华文中宋" w:eastAsia="华文中宋" w:cs="华文中宋"/>
          <w:color w:val="000000" w:themeColor="text1"/>
          <w:sz w:val="44"/>
          <w:szCs w:val="44"/>
          <w14:textFill>
            <w14:solidFill>
              <w14:schemeClr w14:val="tx1"/>
            </w14:solidFill>
          </w14:textFill>
        </w:rPr>
      </w:pPr>
      <w:r>
        <w:rPr>
          <w:rFonts w:hint="eastAsia" w:ascii="华文中宋" w:hAnsi="华文中宋" w:eastAsia="华文中宋" w:cs="华文中宋"/>
          <w:color w:val="000000" w:themeColor="text1"/>
          <w:sz w:val="44"/>
          <w:szCs w:val="44"/>
          <w14:textFill>
            <w14:solidFill>
              <w14:schemeClr w14:val="tx1"/>
            </w14:solidFill>
          </w14:textFill>
        </w:rPr>
        <w:t>联盟地区药品集团带量采购购销合同</w:t>
      </w:r>
    </w:p>
    <w:p>
      <w:pPr>
        <w:keepNext w:val="0"/>
        <w:keepLines w:val="0"/>
        <w:pageBreakBefore w:val="0"/>
        <w:widowControl w:val="0"/>
        <w:kinsoku/>
        <w:wordWrap/>
        <w:overflowPunct/>
        <w:topLinePunct w:val="0"/>
        <w:autoSpaceDE w:val="0"/>
        <w:autoSpaceDN w:val="0"/>
        <w:bidi w:val="0"/>
        <w:adjustRightInd/>
        <w:snapToGrid/>
        <w:spacing w:line="360" w:lineRule="auto"/>
        <w:ind w:left="11"/>
        <w:jc w:val="center"/>
        <w:textAlignment w:val="auto"/>
        <w:rPr>
          <w:rFonts w:ascii="Times New Roman" w:hAnsi="Times New Roman" w:eastAsia="方正小标宋_GBK" w:cs="Times New Roman"/>
          <w:color w:val="000000" w:themeColor="text1"/>
          <w:sz w:val="40"/>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360" w:lineRule="auto"/>
        <w:ind w:left="8136" w:leftChars="198" w:hanging="7700" w:hangingChars="350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交收地址：中国广东省*市*区*路                   </w:t>
      </w:r>
    </w:p>
    <w:p>
      <w:pPr>
        <w:keepNext w:val="0"/>
        <w:keepLines w:val="0"/>
        <w:pageBreakBefore w:val="0"/>
        <w:widowControl w:val="0"/>
        <w:kinsoku/>
        <w:wordWrap/>
        <w:overflowPunct/>
        <w:topLinePunct w:val="0"/>
        <w:autoSpaceDE w:val="0"/>
        <w:autoSpaceDN w:val="0"/>
        <w:bidi w:val="0"/>
        <w:adjustRightInd/>
        <w:snapToGrid/>
        <w:spacing w:line="360" w:lineRule="auto"/>
        <w:ind w:left="8136" w:leftChars="198" w:hanging="7700" w:hangingChars="350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生效时间： 20 * 年 * 月* 日</w:t>
      </w:r>
    </w:p>
    <w:p>
      <w:pPr>
        <w:keepNext w:val="0"/>
        <w:keepLines w:val="0"/>
        <w:pageBreakBefore w:val="0"/>
        <w:widowControl w:val="0"/>
        <w:kinsoku/>
        <w:wordWrap/>
        <w:overflowPunct/>
        <w:topLinePunct w:val="0"/>
        <w:autoSpaceDE w:val="0"/>
        <w:autoSpaceDN w:val="0"/>
        <w:bidi w:val="0"/>
        <w:adjustRightInd/>
        <w:snapToGrid/>
        <w:spacing w:line="360" w:lineRule="auto"/>
        <w:ind w:left="8136" w:leftChars="198" w:hanging="7700" w:hangingChars="3500"/>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有效期：20 * 年 * 月* 日至20 * 年 * 月* 日</w:t>
      </w:r>
    </w:p>
    <w:p>
      <w:pPr>
        <w:keepNext w:val="0"/>
        <w:keepLines w:val="0"/>
        <w:pageBreakBefore w:val="0"/>
        <w:widowControl w:val="0"/>
        <w:kinsoku/>
        <w:wordWrap/>
        <w:overflowPunct/>
        <w:topLinePunct w:val="0"/>
        <w:autoSpaceDE w:val="0"/>
        <w:autoSpaceDN w:val="0"/>
        <w:bidi w:val="0"/>
        <w:adjustRightInd/>
        <w:snapToGrid/>
        <w:spacing w:line="360" w:lineRule="auto"/>
        <w:ind w:left="8136" w:leftChars="198" w:hanging="7700" w:hangingChars="3500"/>
        <w:textAlignment w:val="auto"/>
        <w:rPr>
          <w:rFonts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360" w:lineRule="auto"/>
        <w:ind w:left="213" w:leftChars="97" w:firstLine="209" w:firstLineChars="95"/>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甲方(医疗机构)：</w:t>
      </w:r>
    </w:p>
    <w:p>
      <w:pPr>
        <w:keepNext w:val="0"/>
        <w:keepLines w:val="0"/>
        <w:pageBreakBefore w:val="0"/>
        <w:widowControl w:val="0"/>
        <w:kinsoku/>
        <w:wordWrap/>
        <w:overflowPunct/>
        <w:topLinePunct w:val="0"/>
        <w:autoSpaceDE w:val="0"/>
        <w:autoSpaceDN w:val="0"/>
        <w:bidi w:val="0"/>
        <w:adjustRightInd/>
        <w:snapToGrid/>
        <w:spacing w:line="360" w:lineRule="auto"/>
        <w:ind w:left="213" w:leftChars="97" w:firstLine="209" w:firstLineChars="95"/>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乙方(生产企业)：</w:t>
      </w:r>
    </w:p>
    <w:p>
      <w:pPr>
        <w:keepNext w:val="0"/>
        <w:keepLines w:val="0"/>
        <w:pageBreakBefore w:val="0"/>
        <w:widowControl w:val="0"/>
        <w:kinsoku/>
        <w:wordWrap/>
        <w:overflowPunct/>
        <w:topLinePunct w:val="0"/>
        <w:autoSpaceDE w:val="0"/>
        <w:autoSpaceDN w:val="0"/>
        <w:bidi w:val="0"/>
        <w:adjustRightInd/>
        <w:snapToGrid/>
        <w:spacing w:after="194" w:line="360" w:lineRule="auto"/>
        <w:ind w:left="213" w:leftChars="97" w:firstLine="209" w:firstLineChars="95"/>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丙方(配送企业)：</w:t>
      </w:r>
    </w:p>
    <w:p>
      <w:pPr>
        <w:keepNext w:val="0"/>
        <w:keepLines w:val="0"/>
        <w:pageBreakBefore w:val="0"/>
        <w:widowControl w:val="0"/>
        <w:kinsoku/>
        <w:wordWrap/>
        <w:overflowPunct/>
        <w:topLinePunct w:val="0"/>
        <w:autoSpaceDE w:val="0"/>
        <w:autoSpaceDN w:val="0"/>
        <w:bidi w:val="0"/>
        <w:adjustRightInd/>
        <w:snapToGrid/>
        <w:ind w:left="6"/>
        <w:textAlignment w:val="auto"/>
        <w:rPr>
          <w:rFonts w:ascii="Times New Roman" w:hAnsi="Times New Roman" w:cs="Times New Roman"/>
          <w:color w:val="000000" w:themeColor="text1"/>
          <w14:textFill>
            <w14:solidFill>
              <w14:schemeClr w14:val="tx1"/>
            </w14:solidFill>
          </w14:textFill>
        </w:rPr>
      </w:pPr>
    </w:p>
    <w:p>
      <w:pPr>
        <w:adjustRightInd w:val="0"/>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根据《中华人民共和国合同法》《中华人民共和国药品管理法》《药品流通监督管理办法》《药品经营质量管理规范》等相关</w:t>
      </w:r>
      <w:r>
        <w:rPr>
          <w:rFonts w:ascii="Times New Roman" w:hAnsi="Times New Roman" w:cs="Times New Roman"/>
          <w:color w:val="000000" w:themeColor="text1"/>
          <w:lang w:val="en-US"/>
          <w14:textFill>
            <w14:solidFill>
              <w14:schemeClr w14:val="tx1"/>
            </w14:solidFill>
          </w14:textFill>
        </w:rPr>
        <w:t>法律法规及</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阿莫西林等</w:t>
      </w:r>
      <w:r>
        <w:rPr>
          <w:rFonts w:hint="eastAsia" w:ascii="Times New Roman" w:hAnsi="Times New Roman" w:cs="Times New Roman"/>
          <w:color w:val="000000" w:themeColor="text1"/>
          <w:lang w:val="en-US"/>
          <w14:textFill>
            <w14:solidFill>
              <w14:schemeClr w14:val="tx1"/>
            </w14:solidFill>
          </w14:textFill>
        </w:rPr>
        <w:t>45个药品联盟地区集团带量采购文件</w:t>
      </w:r>
      <w:r>
        <w:rPr>
          <w:rFonts w:ascii="Times New Roman" w:hAnsi="Times New Roman" w:cs="Times New Roman"/>
          <w:color w:val="000000" w:themeColor="text1"/>
          <w14:textFill>
            <w14:solidFill>
              <w14:schemeClr w14:val="tx1"/>
            </w14:solidFill>
          </w14:textFill>
        </w:rPr>
        <w:t>》（采购文件编号：GDYJYPDL20210</w:t>
      </w:r>
      <w:r>
        <w:rPr>
          <w:rFonts w:hint="eastAsia" w:ascii="Times New Roman" w:hAnsi="Times New Roman" w:cs="Times New Roman"/>
          <w:color w:val="000000" w:themeColor="text1"/>
          <w:lang w:val="en-US"/>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）规定，为确保药品网上交易的顺利进行，明确各方的权利和义务，现甲、乙、丙三方在平等、自愿、诚信的基础上，特订立本合同。</w:t>
      </w:r>
    </w:p>
    <w:p>
      <w:pPr>
        <w:spacing w:line="360" w:lineRule="auto"/>
        <w:ind w:left="1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p>
    <w:p>
      <w:pPr>
        <w:spacing w:line="360" w:lineRule="auto"/>
        <w:ind w:firstLine="442" w:firstLineChars="200"/>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第一条 三方关系</w:t>
      </w:r>
    </w:p>
    <w:p>
      <w:pPr>
        <w:adjustRightInd w:val="0"/>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1.甲方为参与</w:t>
      </w:r>
      <w:r>
        <w:rPr>
          <w:rFonts w:hint="eastAsia" w:ascii="Times New Roman" w:hAnsi="Times New Roman" w:cs="Times New Roman"/>
          <w:color w:val="000000" w:themeColor="text1"/>
          <w14:textFill>
            <w14:solidFill>
              <w14:schemeClr w14:val="tx1"/>
            </w14:solidFill>
          </w14:textFill>
        </w:rPr>
        <w:t>阿莫西林等</w:t>
      </w:r>
      <w:r>
        <w:rPr>
          <w:rFonts w:hint="eastAsia" w:ascii="Times New Roman" w:hAnsi="Times New Roman" w:cs="Times New Roman"/>
          <w:color w:val="000000" w:themeColor="text1"/>
          <w:lang w:val="en-US"/>
          <w14:textFill>
            <w14:solidFill>
              <w14:schemeClr w14:val="tx1"/>
            </w14:solidFill>
          </w14:textFill>
        </w:rPr>
        <w:t>45个药品联盟地区集团带量采购</w:t>
      </w:r>
      <w:r>
        <w:rPr>
          <w:rFonts w:ascii="Times New Roman" w:hAnsi="Times New Roman" w:cs="Times New Roman"/>
          <w:color w:val="000000" w:themeColor="text1"/>
          <w14:textFill>
            <w14:solidFill>
              <w14:schemeClr w14:val="tx1"/>
            </w14:solidFill>
          </w14:textFill>
        </w:rPr>
        <w:t>（以下简称联盟</w:t>
      </w:r>
      <w:r>
        <w:rPr>
          <w:rFonts w:hint="eastAsia" w:ascii="Times New Roman" w:hAnsi="Times New Roman" w:cs="Times New Roman"/>
          <w:color w:val="000000" w:themeColor="text1"/>
          <w14:textFill>
            <w14:solidFill>
              <w14:schemeClr w14:val="tx1"/>
            </w14:solidFill>
          </w14:textFill>
        </w:rPr>
        <w:t>地区药品</w:t>
      </w:r>
      <w:r>
        <w:rPr>
          <w:rFonts w:ascii="Times New Roman" w:hAnsi="Times New Roman" w:cs="Times New Roman"/>
          <w:color w:val="000000" w:themeColor="text1"/>
          <w14:textFill>
            <w14:solidFill>
              <w14:schemeClr w14:val="tx1"/>
            </w14:solidFill>
          </w14:textFill>
        </w:rPr>
        <w:t>带量采购）的</w:t>
      </w:r>
      <w:r>
        <w:rPr>
          <w:rFonts w:ascii="Times New Roman" w:hAnsi="Times New Roman" w:cs="Times New Roman"/>
          <w:color w:val="000000" w:themeColor="text1"/>
          <w:lang w:val="en-US"/>
          <w14:textFill>
            <w14:solidFill>
              <w14:schemeClr w14:val="tx1"/>
            </w14:solidFill>
          </w14:textFill>
        </w:rPr>
        <w:t>医疗机构</w:t>
      </w:r>
      <w:r>
        <w:rPr>
          <w:rFonts w:ascii="Times New Roman" w:hAnsi="Times New Roman" w:cs="Times New Roman"/>
          <w:color w:val="000000" w:themeColor="text1"/>
          <w14:textFill>
            <w14:solidFill>
              <w14:schemeClr w14:val="tx1"/>
            </w14:solidFill>
          </w14:textFill>
        </w:rPr>
        <w:t>，乙方为联盟</w:t>
      </w:r>
      <w:r>
        <w:rPr>
          <w:rFonts w:hint="eastAsia" w:ascii="Times New Roman" w:hAnsi="Times New Roman" w:cs="Times New Roman"/>
          <w:color w:val="000000" w:themeColor="text1"/>
          <w14:textFill>
            <w14:solidFill>
              <w14:schemeClr w14:val="tx1"/>
            </w14:solidFill>
          </w14:textFill>
        </w:rPr>
        <w:t>地区药品</w:t>
      </w:r>
      <w:r>
        <w:rPr>
          <w:rFonts w:ascii="Times New Roman" w:hAnsi="Times New Roman" w:cs="Times New Roman"/>
          <w:color w:val="000000" w:themeColor="text1"/>
          <w14:textFill>
            <w14:solidFill>
              <w14:schemeClr w14:val="tx1"/>
            </w14:solidFill>
          </w14:textFill>
        </w:rPr>
        <w:t>带量采购中选药品的生产企业，丙方为乙方委托的联盟</w:t>
      </w:r>
      <w:r>
        <w:rPr>
          <w:rFonts w:hint="eastAsia" w:ascii="Times New Roman" w:hAnsi="Times New Roman" w:cs="Times New Roman"/>
          <w:color w:val="000000" w:themeColor="text1"/>
          <w14:textFill>
            <w14:solidFill>
              <w14:schemeClr w14:val="tx1"/>
            </w14:solidFill>
          </w14:textFill>
        </w:rPr>
        <w:t>地区药品</w:t>
      </w:r>
      <w:r>
        <w:rPr>
          <w:rFonts w:ascii="Times New Roman" w:hAnsi="Times New Roman" w:cs="Times New Roman"/>
          <w:color w:val="000000" w:themeColor="text1"/>
          <w14:textFill>
            <w14:solidFill>
              <w14:schemeClr w14:val="tx1"/>
            </w14:solidFill>
          </w14:textFill>
        </w:rPr>
        <w:t>带量采购中选药品的配送企业。</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2.在本合同有效期内，三方之间的药品购销行为以及因此而产生的其他关系均受本合同约束。</w:t>
      </w:r>
    </w:p>
    <w:p>
      <w:pPr>
        <w:spacing w:line="360" w:lineRule="auto"/>
        <w:ind w:firstLine="442" w:firstLineChars="200"/>
        <w:rPr>
          <w:rFonts w:ascii="Times New Roman" w:hAnsi="Times New Roman" w:cs="Times New Roman"/>
          <w:b/>
          <w:bCs/>
          <w:color w:val="000000" w:themeColor="text1"/>
          <w14:textFill>
            <w14:solidFill>
              <w14:schemeClr w14:val="tx1"/>
            </w14:solidFill>
          </w14:textFill>
        </w:rPr>
      </w:pPr>
    </w:p>
    <w:p>
      <w:pPr>
        <w:spacing w:line="360" w:lineRule="auto"/>
        <w:ind w:firstLine="442" w:firstLineChars="200"/>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第二条 合同标的</w:t>
      </w:r>
    </w:p>
    <w:p>
      <w:pPr>
        <w:spacing w:line="360" w:lineRule="auto"/>
        <w:ind w:left="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中选药品的名称、剂型、规格、包装规格、中选价格、约定采购量、生产企业等见本合同附件之中选药品采购明细表。</w:t>
      </w:r>
    </w:p>
    <w:p>
      <w:pPr>
        <w:spacing w:line="360" w:lineRule="auto"/>
        <w:ind w:left="5"/>
        <w:rPr>
          <w:rFonts w:ascii="Times New Roman" w:hAnsi="Times New Roman" w:cs="Times New Roman"/>
          <w:color w:val="000000" w:themeColor="text1"/>
          <w14:textFill>
            <w14:solidFill>
              <w14:schemeClr w14:val="tx1"/>
            </w14:solidFill>
          </w14:textFill>
        </w:rPr>
      </w:pPr>
    </w:p>
    <w:p>
      <w:pPr>
        <w:spacing w:line="360" w:lineRule="auto"/>
        <w:ind w:firstLine="442" w:firstLineChars="200"/>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第三条 资质</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1.乙方为合法的药品生产企业，且具备法定的履行本合同的能力，乙方应当在签订本合同后的 3日内向丙方提供如下加盖有乙方公章的材料复印件：</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（1）营业执照；</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（2）药品生产许可证。</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2.丙方为合法的药品配送企业，且具备法定的履行本合同的能力，丙方应当在签订本合同后的 3日内向甲方、乙方提供如下加盖有丙方公章的材料复印件：</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（1）营业执照；</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（2）药品经营许可证。</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3.乙方、丙方中任何一方未提供上述材料的，本合同不得继续履行。</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4.在本合同履行期间，如遇乙、丙双方上述证书换发，双方应在证书换发后的 10 个工作日内向对方以及甲方更新材料。</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p>
    <w:p>
      <w:pPr>
        <w:spacing w:line="360" w:lineRule="auto"/>
        <w:ind w:firstLine="442" w:firstLineChars="200"/>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第四条 交易方式</w:t>
      </w:r>
    </w:p>
    <w:p>
      <w:pPr>
        <w:adjustRightInd w:val="0"/>
        <w:spacing w:line="360" w:lineRule="auto"/>
        <w:ind w:left="440" w:left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甲方、乙方、丙方对本合同所列中选药品通过</w:t>
      </w:r>
      <w:r>
        <w:rPr>
          <w:rFonts w:ascii="Times New Roman" w:hAnsi="Times New Roman" w:cs="Times New Roman"/>
          <w:color w:val="000000" w:themeColor="text1"/>
          <w:u w:val="single"/>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（省/广州/深圳）平台进行线上采购。</w:t>
      </w:r>
    </w:p>
    <w:p>
      <w:pPr>
        <w:spacing w:line="360" w:lineRule="auto"/>
        <w:ind w:left="1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p>
    <w:p>
      <w:pPr>
        <w:spacing w:line="360" w:lineRule="auto"/>
        <w:ind w:left="213" w:leftChars="97" w:firstLine="210" w:firstLineChars="95"/>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第五条 药品质量、批件与有效期</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乙方供应的中选药品应符合中选药品生产国与中华人民共和国国家药品质量标准和有关质量要求，并与投标时承诺的质量相一致，以确保用药安全有效。药品的包装、标识、标签、说明书等应符合国家相关规定，并具备国家管理部门的相关批件。</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2.乙方、丙方应向甲方提供其合法的有效证件及所供中选药品的生产批件或进口药品注册证、质量标准等相关文件。</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各方对药品质量存在争议时，应送甲方所在地药检部门检验，同时报告所在地医保部门。如送检药品存在质量问题的，检验费用乙方承担，甲方有权据此单方终止该中选药品购销合同的履行，同时报告所在地医保、药监部门，按《广东省医疗保障局关于做好药品和医用耗材采购工作的指导意见》（粤医保规〔2020〕2号）及《</w:t>
      </w:r>
      <w:r>
        <w:rPr>
          <w:rFonts w:hint="eastAsia" w:ascii="Times New Roman" w:hAnsi="Times New Roman" w:cs="Times New Roman"/>
          <w:color w:val="000000" w:themeColor="text1"/>
          <w14:textFill>
            <w14:solidFill>
              <w14:schemeClr w14:val="tx1"/>
            </w14:solidFill>
          </w14:textFill>
        </w:rPr>
        <w:t>阿莫西林等</w:t>
      </w:r>
      <w:r>
        <w:rPr>
          <w:rFonts w:hint="eastAsia" w:ascii="Times New Roman" w:hAnsi="Times New Roman" w:cs="Times New Roman"/>
          <w:color w:val="000000" w:themeColor="text1"/>
          <w:lang w:val="en-US"/>
          <w14:textFill>
            <w14:solidFill>
              <w14:schemeClr w14:val="tx1"/>
            </w14:solidFill>
          </w14:textFill>
        </w:rPr>
        <w:t>45个药品联盟地区集团带量采购文件</w:t>
      </w:r>
      <w:r>
        <w:rPr>
          <w:rFonts w:ascii="Times New Roman" w:hAnsi="Times New Roman" w:cs="Times New Roman"/>
          <w:color w:val="000000" w:themeColor="text1"/>
          <w14:textFill>
            <w14:solidFill>
              <w14:schemeClr w14:val="tx1"/>
            </w14:solidFill>
          </w14:textFill>
        </w:rPr>
        <w:t>》（采购文件编号：GDYJYPDL20210</w:t>
      </w:r>
      <w:r>
        <w:rPr>
          <w:rFonts w:hint="eastAsia" w:ascii="Times New Roman" w:hAnsi="Times New Roman" w:cs="Times New Roman"/>
          <w:color w:val="000000" w:themeColor="text1"/>
          <w:lang w:val="en-US"/>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）相关条款处理；如送检药品无质量问题的，合同继续履行，检验费用由甲方承担。</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lang w:val="en-US"/>
          <w14:textFill>
            <w14:solidFill>
              <w14:schemeClr w14:val="tx1"/>
            </w14:solidFill>
          </w14:textFill>
        </w:rPr>
        <w:t>甲、乙、丙三方按各自责任范围承担药品储存及质量管理责任：</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（1）甲方对已购进的中选药品应妥善储存和管理，如因甲方库存条件不符合药品正常储存造成的药品质量问题，由甲方承担全部责任。</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（2）丙方对已购进的中选药品应妥善储存和管理，如因丙方库存条件不符合药品正常储存造成的药品质量问题，由丙方承担全部责任。</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（3）除上述原因外的药品质量问题造成的一切损失及第三方责任，由乙方和丙方</w:t>
      </w:r>
      <w:r>
        <w:rPr>
          <w:rFonts w:ascii="Times New Roman" w:hAnsi="Times New Roman" w:cs="Times New Roman"/>
          <w:color w:val="000000" w:themeColor="text1"/>
          <w:lang w:val="en-US"/>
          <w14:textFill>
            <w14:solidFill>
              <w14:schemeClr w14:val="tx1"/>
            </w14:solidFill>
          </w14:textFill>
        </w:rPr>
        <w:t>连带</w:t>
      </w:r>
      <w:r>
        <w:rPr>
          <w:rFonts w:ascii="Times New Roman" w:hAnsi="Times New Roman" w:cs="Times New Roman"/>
          <w:color w:val="000000" w:themeColor="text1"/>
          <w14:textFill>
            <w14:solidFill>
              <w14:schemeClr w14:val="tx1"/>
            </w14:solidFill>
          </w14:textFill>
        </w:rPr>
        <w:t>承担全部责任。有关乙方和丙方之间内部责任问题按双方约定。</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5</w:t>
      </w:r>
      <w:r>
        <w:rPr>
          <w:rFonts w:ascii="Times New Roman" w:hAnsi="Times New Roman" w:cs="Times New Roman"/>
          <w:color w:val="000000" w:themeColor="text1"/>
          <w14:textFill>
            <w14:solidFill>
              <w14:schemeClr w14:val="tx1"/>
            </w14:solidFill>
          </w14:textFill>
        </w:rPr>
        <w:t>.前述中选药品批件应当随货提供。</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6</w:t>
      </w:r>
      <w:r>
        <w:rPr>
          <w:rFonts w:ascii="Times New Roman" w:hAnsi="Times New Roman" w:cs="Times New Roman"/>
          <w:color w:val="000000" w:themeColor="text1"/>
          <w14:textFill>
            <w14:solidFill>
              <w14:schemeClr w14:val="tx1"/>
            </w14:solidFill>
          </w14:textFill>
        </w:rPr>
        <w:t>.乙方确保其每次交付给丙方的中选药品时，供货中选药品的剩余有效期符合如下条件：</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（1）中选药品有效期为一年的，剩余有效期至少为九个月；</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（2）中选药品有效期为一年半至两年的，剩余有效期至少为十二个月；</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（3）中选药品有效期超过二年的，剩余有效期至少为十五个月。</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如遇特殊情况，甲、乙、丙三方可另行通过补充协议的方式约定剩余有效期的长短。在中选药品发生货源紧张的状况下，</w:t>
      </w:r>
      <w:r>
        <w:rPr>
          <w:rFonts w:ascii="Times New Roman" w:hAnsi="Times New Roman" w:cs="Times New Roman"/>
          <w:color w:val="000000" w:themeColor="text1"/>
          <w:lang w:val="en-US"/>
          <w14:textFill>
            <w14:solidFill>
              <w14:schemeClr w14:val="tx1"/>
            </w14:solidFill>
          </w14:textFill>
        </w:rPr>
        <w:t>乙</w:t>
      </w:r>
      <w:r>
        <w:rPr>
          <w:rFonts w:ascii="Times New Roman" w:hAnsi="Times New Roman" w:cs="Times New Roman"/>
          <w:color w:val="000000" w:themeColor="text1"/>
          <w14:textFill>
            <w14:solidFill>
              <w14:schemeClr w14:val="tx1"/>
            </w14:solidFill>
          </w14:textFill>
        </w:rPr>
        <w:t>方应优先满足本合同的需求，避免脱销。</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7</w:t>
      </w:r>
      <w:r>
        <w:rPr>
          <w:rFonts w:ascii="Times New Roman" w:hAnsi="Times New Roman" w:cs="Times New Roman"/>
          <w:color w:val="000000" w:themeColor="text1"/>
          <w14:textFill>
            <w14:solidFill>
              <w14:schemeClr w14:val="tx1"/>
            </w14:solidFill>
          </w14:textFill>
        </w:rPr>
        <w:t>.如乙方供货中选药品为首营品种药品的，乙方有责任在交货前向丙方提供完整、准确的药品首营资料。</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8</w:t>
      </w:r>
      <w:r>
        <w:rPr>
          <w:rFonts w:ascii="Times New Roman" w:hAnsi="Times New Roman" w:cs="Times New Roman"/>
          <w:color w:val="000000" w:themeColor="text1"/>
          <w14:textFill>
            <w14:solidFill>
              <w14:schemeClr w14:val="tx1"/>
            </w14:solidFill>
          </w14:textFill>
        </w:rPr>
        <w:t>.丙方配送到甲方的药品，剩余有效期不得少于</w:t>
      </w:r>
      <w:r>
        <w:rPr>
          <w:rFonts w:ascii="Times New Roman" w:hAnsi="Times New Roman" w:cs="Times New Roman"/>
          <w:color w:val="000000" w:themeColor="text1"/>
          <w:lang w:val="en-US"/>
          <w14:textFill>
            <w14:solidFill>
              <w14:schemeClr w14:val="tx1"/>
            </w14:solidFill>
          </w14:textFill>
        </w:rPr>
        <w:t>6</w:t>
      </w:r>
      <w:r>
        <w:rPr>
          <w:rFonts w:ascii="Times New Roman" w:hAnsi="Times New Roman" w:cs="Times New Roman"/>
          <w:color w:val="000000" w:themeColor="text1"/>
          <w14:textFill>
            <w14:solidFill>
              <w14:schemeClr w14:val="tx1"/>
            </w14:solidFill>
          </w14:textFill>
        </w:rPr>
        <w:t>个月。丙方可以拒收乙方超出订货协议数量的货物。特殊品种甲、乙、丙三方另行协商。</w:t>
      </w:r>
    </w:p>
    <w:p>
      <w:pPr>
        <w:numPr>
          <w:ilvl w:val="255"/>
          <w:numId w:val="0"/>
        </w:numPr>
        <w:spacing w:line="360" w:lineRule="auto"/>
        <w:ind w:left="20" w:hanging="10"/>
        <w:rPr>
          <w:rFonts w:ascii="Times New Roman" w:hAnsi="Times New Roman" w:cs="Times New Roman"/>
          <w:color w:val="000000" w:themeColor="text1"/>
          <w14:textFill>
            <w14:solidFill>
              <w14:schemeClr w14:val="tx1"/>
            </w14:solidFill>
          </w14:textFill>
        </w:rPr>
      </w:pPr>
    </w:p>
    <w:p>
      <w:pPr>
        <w:spacing w:line="360" w:lineRule="auto"/>
        <w:ind w:left="213" w:leftChars="97" w:firstLine="210" w:firstLineChars="95"/>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第六条 订货与运送交付</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1.本合同签订后，乙方应按约定采购量组织生产，保证按本合同约定及时足量供应中选药品。</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2.甲方在乙方、丙方无违约行为的前提下，必须足量采购本合同附件所列的中选药品，确保在合同有效期内完成约定采购量。</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3.乙方保证中选药品包装符合《中华人民共和国药品管理法》及国家各级药品监督管理机构颁布的法规规章及货物运输要求。</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4.丙方保证以符合 GSP 规范及中选药品特性的物流配送方式进行运输，并就运输过程中因包装或运输不善、配送迟延等原因导致中选药品损坏、变质、短缺或剩余有效期不符等承担全部责任。</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bookmarkStart w:id="40" w:name="_Hlk48139721"/>
      <w:r>
        <w:rPr>
          <w:rFonts w:ascii="Times New Roman" w:hAnsi="Times New Roman" w:cs="Times New Roman"/>
          <w:color w:val="000000" w:themeColor="text1"/>
          <w14:textFill>
            <w14:solidFill>
              <w14:schemeClr w14:val="tx1"/>
            </w14:solidFill>
          </w14:textFill>
        </w:rPr>
        <w:t>5.乙方应按乙、丙双方约定的运输方式、期限和交货地点向丙方交付产品。</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6.乙、丙双方确认供货事项后，乙方如期供货但供货中选药品种类不符或有短缺，丙方有权拒收。</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7.丙方可委托第三方物流将中选药品托运至</w:t>
      </w:r>
      <w:r>
        <w:rPr>
          <w:rFonts w:ascii="Times New Roman" w:hAnsi="Times New Roman" w:cs="Times New Roman"/>
          <w:color w:val="000000" w:themeColor="text1"/>
          <w:lang w:val="en-US"/>
          <w14:textFill>
            <w14:solidFill>
              <w14:schemeClr w14:val="tx1"/>
            </w14:solidFill>
          </w14:textFill>
        </w:rPr>
        <w:t>甲</w:t>
      </w:r>
      <w:r>
        <w:rPr>
          <w:rFonts w:ascii="Times New Roman" w:hAnsi="Times New Roman" w:cs="Times New Roman"/>
          <w:color w:val="000000" w:themeColor="text1"/>
          <w14:textFill>
            <w14:solidFill>
              <w14:schemeClr w14:val="tx1"/>
            </w14:solidFill>
          </w14:textFill>
        </w:rPr>
        <w:t>方指定的收货地点，在此种情况下运输中发生的一切费用，包括但不限于中转费、运输费、保险费及卸货费等均由丙方承担。</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8.中选药品到达丙方仓库或丙方收货地点交付之前的风险由乙方承担，到达目的地经验收交付后的风险由丙方承担。</w:t>
      </w:r>
    </w:p>
    <w:bookmarkEnd w:id="40"/>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9.甲方通过交易平台发送的订单，丙方应在12小时内响应，24小时内配送到位，最长不超过48小时；偏远地区可适当放宽配送到位时间，原则上72小时内必须配送到位。</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10.丙方配送中选药品的品种、剂型、数量等必须严格按照甲方发送的订单执行，同时应提供同批号药品的检验报告书。</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11.乙方为中选药品质量与供应的第一责任人，对丙方的配送供货行为负责，并承担连带责任。</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bookmarkStart w:id="41" w:name="_Hlk48139743"/>
      <w:r>
        <w:rPr>
          <w:rFonts w:ascii="Times New Roman" w:hAnsi="Times New Roman" w:cs="Times New Roman"/>
          <w:color w:val="000000" w:themeColor="text1"/>
          <w14:textFill>
            <w14:solidFill>
              <w14:schemeClr w14:val="tx1"/>
            </w14:solidFill>
          </w14:textFill>
        </w:rPr>
        <w:t>12.除非对包装另有规定，丙方配送的全部药品必须按标准保护措施进行包装，以防止药品在转运中损坏或变质，确保药品安全无损运抵指定现场，否则其所造成的一切损失均由乙、丙双方协商负责。</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13.每一个包装箱内必须附一份详细装箱单。包装、标记和包装箱内外的单据应符合协议的特殊要求，包括甲方后来提出的特殊要求。</w:t>
      </w:r>
    </w:p>
    <w:bookmarkEnd w:id="41"/>
    <w:p>
      <w:pPr>
        <w:spacing w:line="360" w:lineRule="auto"/>
        <w:ind w:left="1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p>
    <w:p>
      <w:pPr>
        <w:spacing w:line="360" w:lineRule="auto"/>
        <w:ind w:left="213" w:leftChars="97" w:firstLine="210" w:firstLineChars="95"/>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第七条 药品验收</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bookmarkStart w:id="42" w:name="_Hlk48139856"/>
      <w:r>
        <w:rPr>
          <w:rFonts w:ascii="Times New Roman" w:hAnsi="Times New Roman" w:cs="Times New Roman"/>
          <w:color w:val="000000" w:themeColor="text1"/>
          <w14:textFill>
            <w14:solidFill>
              <w14:schemeClr w14:val="tx1"/>
            </w14:solidFill>
          </w14:textFill>
        </w:rPr>
        <w:t>1.中选药品交付时，乙方应货票同行，并严格按照法定的运输管理要求及药品储存、包装标准等将中选药品按时发运给丙方，丙方收到乙方供货的中选药品时，应当场清点产品的整体整箱外包装（即大件包装）是否完好牢固，乙方应派人协助丙方验收。乙方未派人协助丙方验收，视为乙方确认丙方可独立验收。丙方在接收产品时，发现短少、破损、污染、异形等情形，或有其他不符合法律法规规定的情形，有权拒绝接收，乙方应及时更换被拒绝的中选药品，并承担由此对丙方造成的损失。</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中选药品入丙方库后，丙方发现其中中小包装短少、破损、污染、异形等情形，或有其他不符合法律法规规定的情形，丙方应当及时通知乙方（并附情况说明及补货、退货或换货的书面要求现场照片）。乙方在接到丙方书面要求后的 15 日内应当按丙方的要求补货、退货或换货，由此产生的一切风险和费用由乙方承担。丙方发现同一批供货中的中小包装短少、破损、污染、异形等情况超过总量的 5%的，有权要求乙方就该批供货整体退货或换货。</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3.即使乙方的中选药品通过了丙方的验收，仍不能排除乙方供货中选药品存在质量缺陷的可能。在发生药品质量纠纷时，乙方不能以“已通过验收”作为中选药品不存在安全、质量瑕疵的抗辩理由。</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丙方应当在配送中选药品予甲方的同时，在交易系统按要求进行相应的操作及上传相应的文件如出库单、发票等；自丙方在系统操作确认发货之时起，甲方须在验收药品合格后的七个工作日内在交易系统进行收货确认，甲方未在上述时段内确认收货的，系统将自动确认收货。</w:t>
      </w:r>
    </w:p>
    <w:bookmarkEnd w:id="42"/>
    <w:p>
      <w:pPr>
        <w:spacing w:line="360" w:lineRule="auto"/>
        <w:ind w:left="213" w:leftChars="97" w:firstLine="210" w:firstLineChars="95"/>
        <w:rPr>
          <w:rFonts w:ascii="Times New Roman" w:hAnsi="Times New Roman" w:cs="Times New Roman"/>
          <w:b/>
          <w:bCs/>
          <w:color w:val="000000" w:themeColor="text1"/>
          <w14:textFill>
            <w14:solidFill>
              <w14:schemeClr w14:val="tx1"/>
            </w14:solidFill>
          </w14:textFill>
        </w:rPr>
      </w:pPr>
    </w:p>
    <w:p>
      <w:pPr>
        <w:spacing w:line="360" w:lineRule="auto"/>
        <w:ind w:left="213" w:leftChars="97" w:firstLine="210" w:firstLineChars="95"/>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第八条 中选药品的规定</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1.甲方根据带量购销合同约定，在合同期内完成合同用量。</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2.甲方若在合同期内提前超额完成约定采购量的，超过部分由甲、乙、丙三方另行协商解决。</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.甲方主动向社会公开联盟</w:t>
      </w:r>
      <w:r>
        <w:rPr>
          <w:rFonts w:hint="eastAsia" w:ascii="Times New Roman" w:hAnsi="Times New Roman" w:cs="Times New Roman"/>
          <w:color w:val="000000" w:themeColor="text1"/>
          <w14:textFill>
            <w14:solidFill>
              <w14:schemeClr w14:val="tx1"/>
            </w14:solidFill>
          </w14:textFill>
        </w:rPr>
        <w:t>地区药品</w:t>
      </w:r>
      <w:r>
        <w:rPr>
          <w:rFonts w:ascii="Times New Roman" w:hAnsi="Times New Roman" w:cs="Times New Roman"/>
          <w:color w:val="000000" w:themeColor="text1"/>
          <w14:textFill>
            <w14:solidFill>
              <w14:schemeClr w14:val="tx1"/>
            </w14:solidFill>
          </w14:textFill>
        </w:rPr>
        <w:t>带量采购中选药品的购进价格和销售价格信息。</w:t>
      </w:r>
    </w:p>
    <w:p>
      <w:pPr>
        <w:ind w:firstLine="440" w:firstLineChars="200"/>
        <w:rPr>
          <w:rFonts w:ascii="Times New Roman" w:hAnsi="Times New Roman" w:cs="Times New Roman"/>
          <w:color w:val="000000" w:themeColor="text1"/>
          <w14:textFill>
            <w14:solidFill>
              <w14:schemeClr w14:val="tx1"/>
            </w14:solidFill>
          </w14:textFill>
        </w:rPr>
      </w:pPr>
    </w:p>
    <w:p>
      <w:pPr>
        <w:spacing w:line="360" w:lineRule="auto"/>
        <w:ind w:left="213" w:leftChars="97" w:firstLine="210" w:firstLineChars="95"/>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第九条 货款结算</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1.采购价格：按本合同附件之中选药品采购明细表中载明的中选价格执行，该价格包含成本、运输、包装、伴随服务、税费及其他一切附加费用。</w:t>
      </w:r>
    </w:p>
    <w:p>
      <w:pPr>
        <w:pStyle w:val="6"/>
        <w:spacing w:after="0" w:line="360" w:lineRule="auto"/>
        <w:ind w:left="0" w:firstLine="480" w:firstLineChars="20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2.发票开具：丙方应对中选药品开具发票和清单，随货同行将合法发票送达甲方。甲方接收丙方配送的中选药品后，应在收到合法发票后按规定通过交易平台进行发票交付确认。</w:t>
      </w:r>
    </w:p>
    <w:p>
      <w:pPr>
        <w:pStyle w:val="6"/>
        <w:spacing w:after="0" w:line="360" w:lineRule="auto"/>
        <w:ind w:left="0" w:firstLine="480" w:firstLineChars="200"/>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3.结算时间：甲方为货款结算第一责任人，应按合同规定与丙方及时结算，从收货验收合格起30日内通过交易平台向丙方支付全部货款。</w:t>
      </w:r>
    </w:p>
    <w:p>
      <w:pPr>
        <w:numPr>
          <w:ilvl w:val="255"/>
          <w:numId w:val="0"/>
        </w:numPr>
        <w:spacing w:line="360" w:lineRule="auto"/>
        <w:ind w:left="20"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4.交易平台</w:t>
      </w:r>
      <w:r>
        <w:rPr>
          <w:rFonts w:ascii="Times New Roman" w:hAnsi="Times New Roman" w:cs="Times New Roman"/>
          <w:color w:val="000000" w:themeColor="text1"/>
          <w14:textFill>
            <w14:solidFill>
              <w14:schemeClr w14:val="tx1"/>
            </w14:solidFill>
          </w14:textFill>
        </w:rPr>
        <w:t>在当期应付货款到期</w:t>
      </w:r>
      <w:r>
        <w:rPr>
          <w:rFonts w:ascii="Times New Roman" w:hAnsi="Times New Roman" w:cs="Times New Roman"/>
          <w:color w:val="000000" w:themeColor="text1"/>
          <w:lang w:val="en-US"/>
          <w14:textFill>
            <w14:solidFill>
              <w14:schemeClr w14:val="tx1"/>
            </w14:solidFill>
          </w14:textFill>
        </w:rPr>
        <w:t>前7日</w:t>
      </w:r>
      <w:r>
        <w:rPr>
          <w:rFonts w:ascii="Times New Roman" w:hAnsi="Times New Roman" w:cs="Times New Roman"/>
          <w:color w:val="000000" w:themeColor="text1"/>
          <w14:textFill>
            <w14:solidFill>
              <w14:schemeClr w14:val="tx1"/>
            </w14:solidFill>
          </w14:textFill>
        </w:rPr>
        <w:t>对</w:t>
      </w:r>
      <w:r>
        <w:rPr>
          <w:rFonts w:ascii="Times New Roman" w:hAnsi="Times New Roman" w:cs="Times New Roman"/>
          <w:color w:val="000000" w:themeColor="text1"/>
          <w:lang w:val="en-US"/>
          <w14:textFill>
            <w14:solidFill>
              <w14:schemeClr w14:val="tx1"/>
            </w14:solidFill>
          </w14:textFill>
        </w:rPr>
        <w:t>甲方</w:t>
      </w:r>
      <w:r>
        <w:rPr>
          <w:rFonts w:ascii="Times New Roman" w:hAnsi="Times New Roman" w:cs="Times New Roman"/>
          <w:color w:val="000000" w:themeColor="text1"/>
          <w14:textFill>
            <w14:solidFill>
              <w14:schemeClr w14:val="tx1"/>
            </w14:solidFill>
          </w14:textFill>
        </w:rPr>
        <w:t>发出缴</w:t>
      </w:r>
      <w:r>
        <w:rPr>
          <w:rFonts w:ascii="Times New Roman" w:hAnsi="Times New Roman" w:cs="Times New Roman"/>
          <w:color w:val="000000" w:themeColor="text1"/>
          <w:lang w:val="en-US"/>
          <w14:textFill>
            <w14:solidFill>
              <w14:schemeClr w14:val="tx1"/>
            </w14:solidFill>
          </w14:textFill>
        </w:rPr>
        <w:t>款提醒</w:t>
      </w:r>
      <w:r>
        <w:rPr>
          <w:rFonts w:ascii="Times New Roman" w:hAnsi="Times New Roman" w:cs="Times New Roman"/>
          <w:color w:val="000000" w:themeColor="text1"/>
          <w14:textFill>
            <w14:solidFill>
              <w14:schemeClr w14:val="tx1"/>
            </w14:solidFill>
          </w14:textFill>
        </w:rPr>
        <w:t>通知，告知其应付货款的最后支付时间。</w:t>
      </w:r>
    </w:p>
    <w:p>
      <w:pPr>
        <w:numPr>
          <w:ilvl w:val="255"/>
          <w:numId w:val="0"/>
        </w:numPr>
        <w:spacing w:line="360" w:lineRule="auto"/>
        <w:rPr>
          <w:rFonts w:ascii="Times New Roman" w:hAnsi="Times New Roman" w:cs="Times New Roman"/>
          <w:color w:val="000000" w:themeColor="text1"/>
          <w14:textFill>
            <w14:solidFill>
              <w14:schemeClr w14:val="tx1"/>
            </w14:solidFill>
          </w14:textFill>
        </w:rPr>
      </w:pPr>
    </w:p>
    <w:p>
      <w:pPr>
        <w:spacing w:line="360" w:lineRule="auto"/>
        <w:ind w:left="229" w:leftChars="104" w:firstLine="210" w:firstLineChars="95"/>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第十条 退换货及召回</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1.若因中选药品的质量问题，损坏或变质发生甲方退货的情况，乙方应无条件退换货并承担由此产生的一切费用，所导致的所有纠纷及赔偿由乙方承担责任。乙方承诺补偿甲方由此造成的所有损失。</w:t>
      </w:r>
    </w:p>
    <w:p>
      <w:pPr>
        <w:spacing w:line="360" w:lineRule="auto"/>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 w:val="24"/>
          <w:lang w:val="en-US"/>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乙方供货符合质量验收的标准。甲方收货的当天，中选药品的剩余有效期不足6个月，甲方收货后的5个工作日内有权要求作出退货或换货的处理，</w:t>
      </w:r>
      <w:r>
        <w:rPr>
          <w:rFonts w:ascii="Times New Roman" w:hAnsi="Times New Roman" w:cs="Times New Roman"/>
          <w:color w:val="000000" w:themeColor="text1"/>
          <w:sz w:val="24"/>
          <w:lang w:val="en-US"/>
          <w14:textFill>
            <w14:solidFill>
              <w14:schemeClr w14:val="tx1"/>
            </w14:solidFill>
          </w14:textFill>
        </w:rPr>
        <w:t>向丙方或</w:t>
      </w:r>
      <w:r>
        <w:rPr>
          <w:rFonts w:ascii="Times New Roman" w:hAnsi="Times New Roman" w:cs="Times New Roman"/>
          <w:color w:val="000000" w:themeColor="text1"/>
          <w:sz w:val="24"/>
          <w14:textFill>
            <w14:solidFill>
              <w14:schemeClr w14:val="tx1"/>
            </w14:solidFill>
          </w14:textFill>
        </w:rPr>
        <w:t>通过丙方向乙方行使此项权利。</w:t>
      </w:r>
    </w:p>
    <w:p>
      <w:pPr>
        <w:spacing w:line="360" w:lineRule="auto"/>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 w:val="24"/>
          <w:lang w:val="en-US"/>
          <w14:textFill>
            <w14:solidFill>
              <w14:schemeClr w14:val="tx1"/>
            </w14:solidFill>
          </w14:textFill>
        </w:rPr>
        <w:t>3.</w:t>
      </w:r>
      <w:r>
        <w:rPr>
          <w:rFonts w:ascii="Times New Roman" w:hAnsi="Times New Roman" w:cs="Times New Roman"/>
          <w:color w:val="000000" w:themeColor="text1"/>
          <w:sz w:val="24"/>
          <w14:textFill>
            <w14:solidFill>
              <w14:schemeClr w14:val="tx1"/>
            </w14:solidFill>
          </w14:textFill>
        </w:rPr>
        <w:t xml:space="preserve">对由于不动销或滞销而出现的近效期中选药品，甲方可向丙方或通过丙方向乙方就未销售的中选药品进行协商处理。 </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经甲、丙双方合同约定或协商，在发生甲方退货情形时，由于退货产生的退货货款，甲方已经支付货款的，甲方可以要求丙方即时向其归还该款，也可将此货款冲抵下一次供货产生的货款；甲方尚未支付退货货款的，甲方不承担继续支付的责任。</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5</w:t>
      </w:r>
      <w:r>
        <w:rPr>
          <w:rFonts w:ascii="Times New Roman" w:hAnsi="Times New Roman" w:cs="Times New Roman"/>
          <w:color w:val="000000" w:themeColor="text1"/>
          <w14:textFill>
            <w14:solidFill>
              <w14:schemeClr w14:val="tx1"/>
            </w14:solidFill>
          </w14:textFill>
        </w:rPr>
        <w:t xml:space="preserve">.在本合同履行过程中，若乙方自行或者根据相关职能部门的要求召回中选药品时，乙方应当及时通知甲方，作出相应说明。乙方应向甲方提供必要的协助配合，且召回中所产生的费用均由乙方承担。 </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6</w:t>
      </w:r>
      <w:r>
        <w:rPr>
          <w:rFonts w:ascii="Times New Roman" w:hAnsi="Times New Roman" w:cs="Times New Roman"/>
          <w:color w:val="000000" w:themeColor="text1"/>
          <w14:textFill>
            <w14:solidFill>
              <w14:schemeClr w14:val="tx1"/>
            </w14:solidFill>
          </w14:textFill>
        </w:rPr>
        <w:t>.乙方在最终召回日期后的5个工作日内，根据实际召回数量向丙方、甲方归还货款。在此之后仍有中选药品被召回的，乙方应按上述约定承担同样的责任。</w:t>
      </w:r>
    </w:p>
    <w:p>
      <w:pPr>
        <w:spacing w:line="360" w:lineRule="auto"/>
        <w:ind w:left="229" w:leftChars="104" w:firstLine="209" w:firstLineChars="95"/>
        <w:rPr>
          <w:rFonts w:ascii="Times New Roman" w:hAnsi="Times New Roman" w:cs="Times New Roman"/>
          <w:color w:val="000000" w:themeColor="text1"/>
          <w14:textFill>
            <w14:solidFill>
              <w14:schemeClr w14:val="tx1"/>
            </w14:solidFill>
          </w14:textFill>
        </w:rPr>
      </w:pPr>
    </w:p>
    <w:p>
      <w:pPr>
        <w:spacing w:line="360" w:lineRule="auto"/>
        <w:ind w:left="229" w:leftChars="104" w:firstLine="210" w:firstLineChars="95"/>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第十一条 知识产权及商业秘密保护</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1.甲、乙、丙三方均不得利用履行本合同所形成的便利条件，侵害各方的知识产权，该知识产权具体包括但不限于制药方法的专利权、专有技术，商标权以及企业名称权等。</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2.甲、乙、丙三方应恪守商业秘密保护的责任，未经对方事前书面同意，不得擅自使用或对外披露对方的商业秘密。</w:t>
      </w:r>
    </w:p>
    <w:p>
      <w:pPr>
        <w:spacing w:line="360" w:lineRule="auto"/>
        <w:ind w:firstLine="44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3.乙方应保证中选药品不存在专利权、商标权等知识产权方面的争议，如与第三方产生争议，甲方有权解除本协议、终止对乙方药品的采购且不承担违约责任，乙方自行处理和承担责任。</w:t>
      </w:r>
    </w:p>
    <w:p>
      <w:pPr>
        <w:spacing w:line="360" w:lineRule="auto"/>
        <w:ind w:firstLine="44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如因乙方产品侵犯第三方权利导致甲方因此而遭致损失的，乙方应全额赔偿甲方的损失。</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p>
    <w:p>
      <w:pPr>
        <w:spacing w:line="360" w:lineRule="auto"/>
        <w:ind w:firstLine="442"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第十二条 违约责任</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1.甲方如出现下列行为，应按照《中华人民共和国合同法》的规定承担违约责任:</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（1）甲方违反本合同约定，无正当理由拒绝接收丙方配送的药品；</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（2）甲方违反本合同约定，在合同有效期内无故未完成约定采购量；</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（3）甲方未按照本合同约定按时结算货款；</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（4）其他违反本合同约定的行为。</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2.乙方如出现下列行为，应按照《中华人民共和国合同法》的规定承担违约责任：</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（1）所供选药品不符合本合同约定的质量标准；</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（2）未按照本合同约定及时进行退换货。</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3.丙方如出现下列行为，应按照《中华人民共和国合同法》的规定承担违约责任，且乙、丙双方互为连带责任：</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（1）违反本合同约定，不及时、不足量或拒绝供货；</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（2）运输不善或配送迟延等原因，导致中选药品在配送过程中发生损坏或变质；</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（3）其他违反本合同约定的行为。</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.任何一方违反本合同导致本合同无法继续履行的，违约方应赔偿违约行为对守约方造成的所有实际损失。</w:t>
      </w:r>
      <w:r>
        <w:rPr>
          <w:rFonts w:ascii="Times New Roman" w:hAnsi="Times New Roman" w:cs="Times New Roman"/>
          <w:color w:val="000000" w:themeColor="text1"/>
          <w:lang w:val="en-US"/>
          <w14:textFill>
            <w14:solidFill>
              <w14:schemeClr w14:val="tx1"/>
            </w14:solidFill>
          </w14:textFill>
        </w:rPr>
        <w:t>当</w:t>
      </w:r>
      <w:r>
        <w:rPr>
          <w:rFonts w:ascii="Times New Roman" w:hAnsi="Times New Roman" w:cs="Times New Roman"/>
          <w:color w:val="000000" w:themeColor="text1"/>
          <w14:textFill>
            <w14:solidFill>
              <w14:schemeClr w14:val="tx1"/>
            </w14:solidFill>
          </w14:textFill>
        </w:rPr>
        <w:t>出现货款逾期支付或退还货款逾期的情形时，违约方应向守约方支付逾期付款违约金：</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lang w:val="en-US"/>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）逾期在10日（含）以内的，每日应按未付款项的0.1‰向守约方支付违约金；</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lang w:val="en-US"/>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）逾期在10日以上30日（含）以内的，每日应按未付款项的0.3‰向守约方支付违约金；</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lang w:val="en-US"/>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）逾期超过30日的，每日应按未付款项的0.8‰向守约方支付违约金；</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lang w:val="en-US"/>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）违约金的支付并不免除或减轻违约方继续履行合同的义务。</w:t>
      </w:r>
    </w:p>
    <w:p>
      <w:pPr>
        <w:spacing w:line="360" w:lineRule="auto"/>
        <w:ind w:left="1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p>
    <w:p>
      <w:pPr>
        <w:spacing w:line="360" w:lineRule="auto"/>
        <w:ind w:left="213" w:leftChars="97" w:firstLine="210" w:firstLineChars="95"/>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第十三条 不可抗力</w:t>
      </w:r>
    </w:p>
    <w:p>
      <w:pPr>
        <w:spacing w:line="360" w:lineRule="auto"/>
        <w:ind w:left="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lang w:val="en-US"/>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1. 在采购周期内，若国家和省有新规定的，从其规定。</w:t>
      </w:r>
    </w:p>
    <w:p>
      <w:pPr>
        <w:spacing w:line="360" w:lineRule="auto"/>
        <w:ind w:left="5"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2.甲、乙、丙三方因国家和省政策调整或不可抗力而导致合同实施延误或不能履行合同义务的，不应承担误期赔偿或终止合同的责任。</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3.本条所述的“不可抗力”系指合同各方无法控制、不可预见的事件，但不包括合同某一方的违约或疏忽。这些事件包括但不限于：战争、严重火灾、洪水、台风、地震及其他双方商定的事件。</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在国家和省政策调整或不可抗力事件发生后，合同一方应尽快以书面形式将国家和省政策调整或不可抗力的情况和原因通知其他方。除另行要求外，合同当事人应尽实际可能继续履行合同义务，以及寻求采取合理的方案履行不受国家和省政策调整或不可抗力影响的其他事项。国家和省政策调整或不可抗力事件影响消除后，合同当事人可通过协商在合理的时间内迖成进一步履行合同的协议。</w:t>
      </w:r>
    </w:p>
    <w:p>
      <w:pPr>
        <w:spacing w:line="360" w:lineRule="auto"/>
        <w:ind w:left="1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p>
    <w:p>
      <w:pPr>
        <w:spacing w:line="360" w:lineRule="auto"/>
        <w:ind w:left="213" w:leftChars="97" w:firstLine="210" w:firstLineChars="95"/>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第十四条 合同的变更和解除</w:t>
      </w:r>
    </w:p>
    <w:p>
      <w:pPr>
        <w:spacing w:line="360" w:lineRule="auto"/>
        <w:ind w:right="304"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1.甲、乙、丙任何一方严重违约，造成本合同无法继续履行或不能实现合同目的，被违约的两方有权解除本合同的履行。</w:t>
      </w:r>
    </w:p>
    <w:p>
      <w:pPr>
        <w:spacing w:line="360" w:lineRule="auto"/>
        <w:ind w:right="304"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2.甲、乙、丙任何一方丧失必要的经营资质或产品代理资质，不能再从事药品生产或经营活动的；或严重资不抵债的；或无能力的/或承认其无能力清偿到期债务的，任一守约方有权解除本合同的履行。 </w:t>
      </w:r>
    </w:p>
    <w:p>
      <w:pPr>
        <w:spacing w:line="360" w:lineRule="auto"/>
        <w:ind w:right="304"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3.在国家和省政策调整或不可抗力发生的情况下，甲、乙、丙三方可根据情况变更或解除本合同的履行。 </w:t>
      </w:r>
    </w:p>
    <w:p>
      <w:pPr>
        <w:spacing w:line="360" w:lineRule="auto"/>
        <w:ind w:right="304"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4.合同变更和解除前约定履行但尚未履行的部分，除法律法规有明确规定不能继续履行的，甲、乙、丙三方应继续履行至结束。 </w:t>
      </w:r>
    </w:p>
    <w:p>
      <w:pPr>
        <w:spacing w:line="360" w:lineRule="auto"/>
        <w:ind w:left="1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p>
    <w:p>
      <w:pPr>
        <w:spacing w:line="360" w:lineRule="auto"/>
        <w:ind w:left="213" w:leftChars="97" w:firstLine="210" w:firstLineChars="95"/>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第十五条 争议的解决</w:t>
      </w:r>
    </w:p>
    <w:p>
      <w:pPr>
        <w:spacing w:line="360" w:lineRule="auto"/>
        <w:ind w:left="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lang w:val="en-US"/>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 1.在本合同履行过程中发生任何争议，甲、乙、丙三方应友好协商解决，协商不成的，三方同意将争议提交甲方所在地有管辖权的人民法院管辖。</w:t>
      </w:r>
    </w:p>
    <w:p>
      <w:pPr>
        <w:numPr>
          <w:ilvl w:val="255"/>
          <w:numId w:val="0"/>
        </w:numPr>
        <w:spacing w:line="360" w:lineRule="auto"/>
        <w:ind w:left="5" w:hanging="1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lang w:val="en-US"/>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2.本合同适用中华人民共和国法律法规。</w:t>
      </w:r>
    </w:p>
    <w:p>
      <w:pPr>
        <w:spacing w:line="360" w:lineRule="auto"/>
        <w:ind w:left="1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p>
    <w:p>
      <w:pPr>
        <w:spacing w:line="360" w:lineRule="auto"/>
        <w:ind w:left="213" w:leftChars="97" w:firstLine="210" w:firstLineChars="95"/>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第十六条 其他条款</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1.甲、乙、丙三方通过交易平台确认的订单为本合同的组成部分，具有同等法律效力。</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2.本合同未尽事项，甲、乙、丙三方应友好协商，经三方书面同意可以对合同条款进行补充或修改，根据需要可另行签订补充协议作为本合同的附件，附件具有同等的法律效力。</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3.本合同于</w:t>
      </w:r>
      <w:r>
        <w:rPr>
          <w:rFonts w:ascii="Times New Roman" w:hAnsi="Times New Roman" w:cs="Times New Roman"/>
          <w:color w:val="000000" w:themeColor="text1"/>
          <w:u w:val="single"/>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（省/广州/深圳）平台签署，自甲方通过该交易平台创建发送合同，且乙方、丙方均通过该交易平台确认同意之日起成立并生效。</w:t>
      </w:r>
    </w:p>
    <w:p>
      <w:pPr>
        <w:spacing w:line="360" w:lineRule="auto"/>
        <w:rPr>
          <w:rFonts w:ascii="Times New Roman" w:hAnsi="Times New Roman" w:cs="Times New Roman"/>
          <w:color w:val="000000" w:themeColor="text1"/>
          <w14:textFill>
            <w14:solidFill>
              <w14:schemeClr w14:val="tx1"/>
            </w14:solidFill>
          </w14:textFill>
        </w:rPr>
      </w:pPr>
    </w:p>
    <w:p>
      <w:pPr>
        <w:numPr>
          <w:ilvl w:val="255"/>
          <w:numId w:val="0"/>
        </w:numPr>
        <w:spacing w:line="360" w:lineRule="auto"/>
        <w:ind w:left="10" w:firstLine="442" w:firstLineChars="200"/>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第十七条 特别约定</w:t>
      </w:r>
    </w:p>
    <w:p>
      <w:pPr>
        <w:numPr>
          <w:ilvl w:val="255"/>
          <w:numId w:val="0"/>
        </w:numPr>
        <w:spacing w:line="360" w:lineRule="auto"/>
        <w:ind w:left="10" w:firstLine="440" w:firstLineChars="200"/>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w:t>
      </w:r>
      <w:r>
        <w:rPr>
          <w:rFonts w:hint="eastAsia" w:ascii="Times New Roman" w:hAnsi="Times New Roman" w:cs="Times New Roman"/>
          <w:bCs/>
          <w:color w:val="000000" w:themeColor="text1"/>
          <w14:textFill>
            <w14:solidFill>
              <w14:schemeClr w14:val="tx1"/>
            </w14:solidFill>
          </w14:textFill>
        </w:rPr>
        <w:t>阿莫西林等</w:t>
      </w:r>
      <w:r>
        <w:rPr>
          <w:rFonts w:hint="eastAsia" w:ascii="Times New Roman" w:hAnsi="Times New Roman" w:cs="Times New Roman"/>
          <w:bCs/>
          <w:color w:val="000000" w:themeColor="text1"/>
          <w:lang w:val="en-US"/>
          <w14:textFill>
            <w14:solidFill>
              <w14:schemeClr w14:val="tx1"/>
            </w14:solidFill>
          </w14:textFill>
        </w:rPr>
        <w:t>45个药品联盟地区集团带量采购文件</w:t>
      </w:r>
      <w:r>
        <w:rPr>
          <w:rFonts w:ascii="Times New Roman" w:hAnsi="Times New Roman" w:cs="Times New Roman"/>
          <w:bCs/>
          <w:color w:val="000000" w:themeColor="text1"/>
          <w14:textFill>
            <w14:solidFill>
              <w14:schemeClr w14:val="tx1"/>
            </w14:solidFill>
          </w14:textFill>
        </w:rPr>
        <w:t>》（采购文件编号：</w:t>
      </w:r>
      <w:r>
        <w:rPr>
          <w:rFonts w:ascii="Times New Roman" w:hAnsi="Times New Roman" w:cs="Times New Roman"/>
          <w:color w:val="000000" w:themeColor="text1"/>
          <w14:textFill>
            <w14:solidFill>
              <w14:schemeClr w14:val="tx1"/>
            </w14:solidFill>
          </w14:textFill>
        </w:rPr>
        <w:t>GDYJYPDL20210</w:t>
      </w:r>
      <w:r>
        <w:rPr>
          <w:rFonts w:hint="eastAsia" w:ascii="Times New Roman" w:hAnsi="Times New Roman" w:cs="Times New Roman"/>
          <w:color w:val="000000" w:themeColor="text1"/>
          <w:lang w:val="en-US"/>
          <w14:textFill>
            <w14:solidFill>
              <w14:schemeClr w14:val="tx1"/>
            </w14:solidFill>
          </w14:textFill>
        </w:rPr>
        <w:t>2</w:t>
      </w:r>
      <w:r>
        <w:rPr>
          <w:rFonts w:ascii="Times New Roman" w:hAnsi="Times New Roman" w:cs="Times New Roman"/>
          <w:bCs/>
          <w:color w:val="000000" w:themeColor="text1"/>
          <w14:textFill>
            <w14:solidFill>
              <w14:schemeClr w14:val="tx1"/>
            </w14:solidFill>
          </w14:textFill>
        </w:rPr>
        <w:t>）、乙方的申报材料（含《医药企业价格和营销行为信用承诺</w:t>
      </w:r>
      <w:r>
        <w:rPr>
          <w:rFonts w:hint="eastAsia" w:ascii="Times New Roman" w:hAnsi="Times New Roman" w:cs="Times New Roman"/>
          <w:bCs/>
          <w:color w:val="000000" w:themeColor="text1"/>
          <w14:textFill>
            <w14:solidFill>
              <w14:schemeClr w14:val="tx1"/>
            </w14:solidFill>
          </w14:textFill>
        </w:rPr>
        <w:t>书</w:t>
      </w:r>
      <w:r>
        <w:rPr>
          <w:rFonts w:ascii="Times New Roman" w:hAnsi="Times New Roman" w:cs="Times New Roman"/>
          <w:bCs/>
          <w:color w:val="000000" w:themeColor="text1"/>
          <w14:textFill>
            <w14:solidFill>
              <w14:schemeClr w14:val="tx1"/>
            </w14:solidFill>
          </w14:textFill>
        </w:rPr>
        <w:t>》）为本合同的有效组成部分，本合同各方应遵照执行。</w:t>
      </w:r>
    </w:p>
    <w:p>
      <w:pPr>
        <w:numPr>
          <w:ilvl w:val="255"/>
          <w:numId w:val="0"/>
        </w:numPr>
        <w:spacing w:line="360" w:lineRule="auto"/>
        <w:ind w:left="10" w:firstLine="440" w:firstLineChars="200"/>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lang w:val="en-US"/>
          <w14:textFill>
            <w14:solidFill>
              <w14:schemeClr w14:val="tx1"/>
            </w14:solidFill>
          </w14:textFill>
        </w:rPr>
        <w:t>2</w:t>
      </w:r>
      <w:r>
        <w:rPr>
          <w:rFonts w:ascii="Times New Roman" w:hAnsi="Times New Roman" w:cs="Times New Roman"/>
          <w:bCs/>
          <w:color w:val="000000" w:themeColor="text1"/>
          <w14:textFill>
            <w14:solidFill>
              <w14:schemeClr w14:val="tx1"/>
            </w14:solidFill>
          </w14:textFill>
        </w:rPr>
        <w:t>.</w:t>
      </w:r>
      <w:r>
        <w:rPr>
          <w:rFonts w:ascii="Times New Roman" w:hAnsi="Times New Roman" w:cs="Times New Roman"/>
          <w:bCs/>
          <w:color w:val="000000" w:themeColor="text1"/>
          <w:lang w:val="en-US"/>
          <w14:textFill>
            <w14:solidFill>
              <w14:schemeClr w14:val="tx1"/>
            </w14:solidFill>
          </w14:textFill>
        </w:rPr>
        <w:t>乙</w:t>
      </w:r>
      <w:r>
        <w:rPr>
          <w:rFonts w:ascii="Times New Roman" w:hAnsi="Times New Roman" w:cs="Times New Roman"/>
          <w:bCs/>
          <w:color w:val="000000" w:themeColor="text1"/>
          <w14:textFill>
            <w14:solidFill>
              <w14:schemeClr w14:val="tx1"/>
            </w14:solidFill>
          </w14:textFill>
        </w:rPr>
        <w:t>方、</w:t>
      </w:r>
      <w:r>
        <w:rPr>
          <w:rFonts w:ascii="Times New Roman" w:hAnsi="Times New Roman" w:cs="Times New Roman"/>
          <w:bCs/>
          <w:color w:val="000000" w:themeColor="text1"/>
          <w:lang w:val="en-US"/>
          <w14:textFill>
            <w14:solidFill>
              <w14:schemeClr w14:val="tx1"/>
            </w14:solidFill>
          </w14:textFill>
        </w:rPr>
        <w:t>丙方</w:t>
      </w:r>
      <w:r>
        <w:rPr>
          <w:rFonts w:ascii="Times New Roman" w:hAnsi="Times New Roman" w:cs="Times New Roman"/>
          <w:bCs/>
          <w:color w:val="000000" w:themeColor="text1"/>
          <w14:textFill>
            <w14:solidFill>
              <w14:schemeClr w14:val="tx1"/>
            </w14:solidFill>
          </w14:textFill>
        </w:rPr>
        <w:t>如出现违反本合同约定的，自愿接受取消2年内参加省级</w:t>
      </w:r>
      <w:r>
        <w:rPr>
          <w:rFonts w:hint="eastAsia" w:ascii="Times New Roman" w:hAnsi="Times New Roman" w:cs="Times New Roman"/>
          <w:bCs/>
          <w:color w:val="000000" w:themeColor="text1"/>
          <w14:textFill>
            <w14:solidFill>
              <w14:schemeClr w14:val="tx1"/>
            </w14:solidFill>
          </w14:textFill>
        </w:rPr>
        <w:t>集团</w:t>
      </w:r>
      <w:r>
        <w:rPr>
          <w:rFonts w:ascii="Times New Roman" w:hAnsi="Times New Roman" w:cs="Times New Roman"/>
          <w:bCs/>
          <w:color w:val="000000" w:themeColor="text1"/>
          <w14:textFill>
            <w14:solidFill>
              <w14:schemeClr w14:val="tx1"/>
            </w14:solidFill>
          </w14:textFill>
        </w:rPr>
        <w:t>带量采购</w:t>
      </w:r>
      <w:r>
        <w:rPr>
          <w:rFonts w:ascii="Times New Roman" w:hAnsi="Times New Roman" w:cs="Times New Roman"/>
          <w:bCs/>
          <w:color w:val="000000" w:themeColor="text1"/>
          <w:lang w:val="en-US"/>
          <w14:textFill>
            <w14:solidFill>
              <w14:schemeClr w14:val="tx1"/>
            </w14:solidFill>
          </w14:textFill>
        </w:rPr>
        <w:t>的</w:t>
      </w:r>
      <w:r>
        <w:rPr>
          <w:rFonts w:ascii="Times New Roman" w:hAnsi="Times New Roman" w:cs="Times New Roman"/>
          <w:bCs/>
          <w:color w:val="000000" w:themeColor="text1"/>
          <w14:textFill>
            <w14:solidFill>
              <w14:schemeClr w14:val="tx1"/>
            </w14:solidFill>
          </w14:textFill>
        </w:rPr>
        <w:t>资格。</w:t>
      </w:r>
    </w:p>
    <w:p>
      <w:pPr>
        <w:numPr>
          <w:ilvl w:val="255"/>
          <w:numId w:val="0"/>
        </w:numPr>
        <w:spacing w:line="360" w:lineRule="auto"/>
        <w:ind w:left="10" w:firstLine="440" w:firstLineChars="200"/>
        <w:rPr>
          <w:rFonts w:ascii="Times New Roman" w:hAnsi="Times New Roman" w:cs="Times New Roman"/>
          <w:bCs/>
          <w:color w:val="000000" w:themeColor="text1"/>
          <w:lang w:val="en-US"/>
          <w14:textFill>
            <w14:solidFill>
              <w14:schemeClr w14:val="tx1"/>
            </w14:solidFill>
          </w14:textFill>
        </w:rPr>
      </w:pPr>
      <w:r>
        <w:rPr>
          <w:rFonts w:ascii="Times New Roman" w:hAnsi="Times New Roman" w:cs="Times New Roman"/>
          <w:bCs/>
          <w:color w:val="000000" w:themeColor="text1"/>
          <w:lang w:val="en-US"/>
          <w14:textFill>
            <w14:solidFill>
              <w14:schemeClr w14:val="tx1"/>
            </w14:solidFill>
          </w14:textFill>
        </w:rPr>
        <w:t>3.如乙方或丙方委托提供代理服务的法人和自然人，因涉及乙方药品的回扣等医药商业贿赂行为，乙方或丙方承诺承担失信违约责任。</w:t>
      </w:r>
    </w:p>
    <w:p>
      <w:pPr>
        <w:rPr>
          <w:rFonts w:ascii="Times New Roman" w:hAnsi="Times New Roman"/>
          <w:color w:val="000000" w:themeColor="text1"/>
          <w14:textFill>
            <w14:solidFill>
              <w14:schemeClr w14:val="tx1"/>
            </w14:solidFill>
          </w14:textFill>
        </w:rPr>
      </w:pPr>
      <w:r>
        <w:rPr>
          <w:rFonts w:ascii="Times New Roman" w:hAnsi="Times New Roman" w:cs="Times New Roman"/>
          <w:bCs/>
          <w:color w:val="000000" w:themeColor="text1"/>
          <w:lang w:val="en-US"/>
          <w14:textFill>
            <w14:solidFill>
              <w14:schemeClr w14:val="tx1"/>
            </w14:solidFill>
          </w14:textFill>
        </w:rPr>
        <w:br w:type="page"/>
      </w:r>
      <w:r>
        <w:rPr>
          <w:rFonts w:ascii="Times New Roman" w:hAnsi="Times New Roman" w:eastAsia="黑体" w:cs="Times New Roman"/>
          <w:color w:val="000000" w:themeColor="text1"/>
          <w14:textFill>
            <w14:solidFill>
              <w14:schemeClr w14:val="tx1"/>
            </w14:solidFill>
          </w14:textFill>
        </w:rPr>
        <w:t>附件</w:t>
      </w:r>
    </w:p>
    <w:p>
      <w:pPr>
        <w:ind w:left="5"/>
        <w:rPr>
          <w:rFonts w:ascii="Times New Roman" w:hAnsi="Times New Roman" w:cs="Times New Roman"/>
          <w:color w:val="000000" w:themeColor="text1"/>
          <w14:textFill>
            <w14:solidFill>
              <w14:schemeClr w14:val="tx1"/>
            </w14:solidFill>
          </w14:textFill>
        </w:rPr>
      </w:pPr>
    </w:p>
    <w:p>
      <w:pPr>
        <w:ind w:left="5"/>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中选药品采购明细表</w:t>
      </w:r>
    </w:p>
    <w:p>
      <w:pPr>
        <w:ind w:left="5"/>
        <w:jc w:val="center"/>
        <w:rPr>
          <w:rFonts w:ascii="Times New Roman" w:hAnsi="Times New Roman" w:cs="Times New Roman"/>
          <w:b/>
          <w:bCs/>
          <w:color w:val="000000" w:themeColor="text1"/>
          <w14:textFill>
            <w14:solidFill>
              <w14:schemeClr w14:val="tx1"/>
            </w14:solidFill>
          </w14:textFill>
        </w:rPr>
      </w:pPr>
    </w:p>
    <w:tbl>
      <w:tblPr>
        <w:tblStyle w:val="14"/>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825"/>
        <w:gridCol w:w="645"/>
        <w:gridCol w:w="570"/>
        <w:gridCol w:w="684"/>
        <w:gridCol w:w="675"/>
        <w:gridCol w:w="660"/>
        <w:gridCol w:w="900"/>
        <w:gridCol w:w="945"/>
        <w:gridCol w:w="1086"/>
        <w:gridCol w:w="93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Align w:val="center"/>
          </w:tcPr>
          <w:p>
            <w:pPr>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产品名称</w:t>
            </w:r>
          </w:p>
        </w:tc>
        <w:tc>
          <w:tcPr>
            <w:tcW w:w="825" w:type="dxa"/>
            <w:vAlign w:val="center"/>
          </w:tcPr>
          <w:p>
            <w:pPr>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商品名</w:t>
            </w:r>
          </w:p>
        </w:tc>
        <w:tc>
          <w:tcPr>
            <w:tcW w:w="645" w:type="dxa"/>
            <w:vAlign w:val="center"/>
          </w:tcPr>
          <w:p>
            <w:pPr>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剂型</w:t>
            </w:r>
          </w:p>
        </w:tc>
        <w:tc>
          <w:tcPr>
            <w:tcW w:w="570" w:type="dxa"/>
            <w:vAlign w:val="center"/>
          </w:tcPr>
          <w:p>
            <w:pPr>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规格</w:t>
            </w:r>
          </w:p>
        </w:tc>
        <w:tc>
          <w:tcPr>
            <w:tcW w:w="684" w:type="dxa"/>
            <w:vAlign w:val="center"/>
          </w:tcPr>
          <w:p>
            <w:pPr>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包装规格</w:t>
            </w:r>
          </w:p>
        </w:tc>
        <w:tc>
          <w:tcPr>
            <w:tcW w:w="675" w:type="dxa"/>
            <w:vAlign w:val="center"/>
          </w:tcPr>
          <w:p>
            <w:pPr>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规格属性</w:t>
            </w:r>
          </w:p>
        </w:tc>
        <w:tc>
          <w:tcPr>
            <w:tcW w:w="660" w:type="dxa"/>
            <w:vAlign w:val="center"/>
          </w:tcPr>
          <w:p>
            <w:pPr>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包装材质</w:t>
            </w:r>
          </w:p>
        </w:tc>
        <w:tc>
          <w:tcPr>
            <w:tcW w:w="900" w:type="dxa"/>
            <w:vAlign w:val="center"/>
          </w:tcPr>
          <w:p>
            <w:pPr>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生产企业</w:t>
            </w:r>
          </w:p>
        </w:tc>
        <w:tc>
          <w:tcPr>
            <w:tcW w:w="945" w:type="dxa"/>
            <w:vAlign w:val="center"/>
          </w:tcPr>
          <w:p>
            <w:pPr>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中选价格（元）</w:t>
            </w:r>
          </w:p>
        </w:tc>
        <w:tc>
          <w:tcPr>
            <w:tcW w:w="1086" w:type="dxa"/>
            <w:vAlign w:val="center"/>
          </w:tcPr>
          <w:p>
            <w:pPr>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约定采购量</w:t>
            </w:r>
          </w:p>
        </w:tc>
        <w:tc>
          <w:tcPr>
            <w:tcW w:w="930" w:type="dxa"/>
            <w:vAlign w:val="center"/>
          </w:tcPr>
          <w:p>
            <w:pPr>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合计金额</w:t>
            </w:r>
          </w:p>
          <w:p>
            <w:pPr>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（元）</w:t>
            </w:r>
          </w:p>
        </w:tc>
        <w:tc>
          <w:tcPr>
            <w:tcW w:w="870" w:type="dxa"/>
            <w:vAlign w:val="center"/>
          </w:tcPr>
          <w:p>
            <w:pPr>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采购期限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tcPr>
          <w:p>
            <w:pPr>
              <w:rPr>
                <w:rFonts w:ascii="Times New Roman" w:hAnsi="Times New Roman" w:cs="Times New Roman"/>
                <w:color w:val="000000" w:themeColor="text1"/>
                <w14:textFill>
                  <w14:solidFill>
                    <w14:schemeClr w14:val="tx1"/>
                  </w14:solidFill>
                </w14:textFill>
              </w:rPr>
            </w:pPr>
          </w:p>
        </w:tc>
        <w:tc>
          <w:tcPr>
            <w:tcW w:w="825" w:type="dxa"/>
          </w:tcPr>
          <w:p>
            <w:pPr>
              <w:rPr>
                <w:rFonts w:ascii="Times New Roman" w:hAnsi="Times New Roman" w:cs="Times New Roman"/>
                <w:color w:val="000000" w:themeColor="text1"/>
                <w14:textFill>
                  <w14:solidFill>
                    <w14:schemeClr w14:val="tx1"/>
                  </w14:solidFill>
                </w14:textFill>
              </w:rPr>
            </w:pPr>
          </w:p>
        </w:tc>
        <w:tc>
          <w:tcPr>
            <w:tcW w:w="645" w:type="dxa"/>
          </w:tcPr>
          <w:p>
            <w:pPr>
              <w:rPr>
                <w:rFonts w:ascii="Times New Roman" w:hAnsi="Times New Roman" w:cs="Times New Roman"/>
                <w:color w:val="000000" w:themeColor="text1"/>
                <w14:textFill>
                  <w14:solidFill>
                    <w14:schemeClr w14:val="tx1"/>
                  </w14:solidFill>
                </w14:textFill>
              </w:rPr>
            </w:pPr>
          </w:p>
        </w:tc>
        <w:tc>
          <w:tcPr>
            <w:tcW w:w="570" w:type="dxa"/>
          </w:tcPr>
          <w:p>
            <w:pPr>
              <w:rPr>
                <w:rFonts w:ascii="Times New Roman" w:hAnsi="Times New Roman" w:cs="Times New Roman"/>
                <w:color w:val="000000" w:themeColor="text1"/>
                <w14:textFill>
                  <w14:solidFill>
                    <w14:schemeClr w14:val="tx1"/>
                  </w14:solidFill>
                </w14:textFill>
              </w:rPr>
            </w:pPr>
          </w:p>
        </w:tc>
        <w:tc>
          <w:tcPr>
            <w:tcW w:w="684" w:type="dxa"/>
          </w:tcPr>
          <w:p>
            <w:pPr>
              <w:rPr>
                <w:rFonts w:ascii="Times New Roman" w:hAnsi="Times New Roman" w:cs="Times New Roman"/>
                <w:color w:val="000000" w:themeColor="text1"/>
                <w14:textFill>
                  <w14:solidFill>
                    <w14:schemeClr w14:val="tx1"/>
                  </w14:solidFill>
                </w14:textFill>
              </w:rPr>
            </w:pPr>
          </w:p>
        </w:tc>
        <w:tc>
          <w:tcPr>
            <w:tcW w:w="675" w:type="dxa"/>
          </w:tcPr>
          <w:p>
            <w:pPr>
              <w:rPr>
                <w:rFonts w:ascii="Times New Roman" w:hAnsi="Times New Roman" w:cs="Times New Roman"/>
                <w:color w:val="000000" w:themeColor="text1"/>
                <w14:textFill>
                  <w14:solidFill>
                    <w14:schemeClr w14:val="tx1"/>
                  </w14:solidFill>
                </w14:textFill>
              </w:rPr>
            </w:pPr>
          </w:p>
        </w:tc>
        <w:tc>
          <w:tcPr>
            <w:tcW w:w="660" w:type="dxa"/>
          </w:tcPr>
          <w:p>
            <w:pPr>
              <w:rPr>
                <w:rFonts w:ascii="Times New Roman" w:hAnsi="Times New Roman" w:cs="Times New Roman"/>
                <w:color w:val="000000" w:themeColor="text1"/>
                <w14:textFill>
                  <w14:solidFill>
                    <w14:schemeClr w14:val="tx1"/>
                  </w14:solidFill>
                </w14:textFill>
              </w:rPr>
            </w:pPr>
          </w:p>
        </w:tc>
        <w:tc>
          <w:tcPr>
            <w:tcW w:w="900" w:type="dxa"/>
          </w:tcPr>
          <w:p>
            <w:pPr>
              <w:rPr>
                <w:rFonts w:ascii="Times New Roman" w:hAnsi="Times New Roman" w:cs="Times New Roman"/>
                <w:color w:val="000000" w:themeColor="text1"/>
                <w14:textFill>
                  <w14:solidFill>
                    <w14:schemeClr w14:val="tx1"/>
                  </w14:solidFill>
                </w14:textFill>
              </w:rPr>
            </w:pPr>
          </w:p>
        </w:tc>
        <w:tc>
          <w:tcPr>
            <w:tcW w:w="945" w:type="dxa"/>
          </w:tcPr>
          <w:p>
            <w:pPr>
              <w:rPr>
                <w:rFonts w:ascii="Times New Roman" w:hAnsi="Times New Roman" w:cs="Times New Roman"/>
                <w:color w:val="000000" w:themeColor="text1"/>
                <w14:textFill>
                  <w14:solidFill>
                    <w14:schemeClr w14:val="tx1"/>
                  </w14:solidFill>
                </w14:textFill>
              </w:rPr>
            </w:pPr>
          </w:p>
        </w:tc>
        <w:tc>
          <w:tcPr>
            <w:tcW w:w="1086" w:type="dxa"/>
          </w:tcPr>
          <w:p>
            <w:pPr>
              <w:rPr>
                <w:rFonts w:ascii="Times New Roman" w:hAnsi="Times New Roman" w:cs="Times New Roman"/>
                <w:color w:val="000000" w:themeColor="text1"/>
                <w14:textFill>
                  <w14:solidFill>
                    <w14:schemeClr w14:val="tx1"/>
                  </w14:solidFill>
                </w14:textFill>
              </w:rPr>
            </w:pPr>
          </w:p>
        </w:tc>
        <w:tc>
          <w:tcPr>
            <w:tcW w:w="930" w:type="dxa"/>
          </w:tcPr>
          <w:p>
            <w:pPr>
              <w:rPr>
                <w:rFonts w:ascii="Times New Roman" w:hAnsi="Times New Roman" w:cs="Times New Roman"/>
                <w:color w:val="000000" w:themeColor="text1"/>
                <w14:textFill>
                  <w14:solidFill>
                    <w14:schemeClr w14:val="tx1"/>
                  </w14:solidFill>
                </w14:textFill>
              </w:rPr>
            </w:pPr>
          </w:p>
        </w:tc>
        <w:tc>
          <w:tcPr>
            <w:tcW w:w="870" w:type="dxa"/>
          </w:tcPr>
          <w:p>
            <w:pPr>
              <w:rPr>
                <w:rFonts w:ascii="Times New Roman" w:hAnsi="Times New Roman" w:cs="Times New Roman"/>
                <w:color w:val="000000" w:themeColor="text1"/>
                <w14:textFill>
                  <w14:solidFill>
                    <w14:schemeClr w14:val="tx1"/>
                  </w14:solidFill>
                </w14:textFill>
              </w:rPr>
            </w:pPr>
          </w:p>
        </w:tc>
      </w:tr>
      <w:bookmarkEnd w:id="38"/>
      <w:bookmarkEnd w:id="39"/>
    </w:tbl>
    <w:p>
      <w:pPr>
        <w:keepNext w:val="0"/>
        <w:keepLines w:val="0"/>
        <w:widowControl/>
        <w:suppressLineNumbers w:val="0"/>
        <w:jc w:val="left"/>
        <w:textAlignment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tbl>
      <w:tblPr>
        <w:tblStyle w:val="13"/>
        <w:tblW w:w="9196" w:type="dxa"/>
        <w:tblInd w:w="0" w:type="dxa"/>
        <w:shd w:val="clear" w:color="auto" w:fill="auto"/>
        <w:tblLayout w:type="fixed"/>
        <w:tblCellMar>
          <w:top w:w="0" w:type="dxa"/>
          <w:left w:w="0" w:type="dxa"/>
          <w:bottom w:w="0" w:type="dxa"/>
          <w:right w:w="0" w:type="dxa"/>
        </w:tblCellMar>
      </w:tblPr>
      <w:tblGrid>
        <w:gridCol w:w="811"/>
        <w:gridCol w:w="705"/>
        <w:gridCol w:w="975"/>
        <w:gridCol w:w="2925"/>
        <w:gridCol w:w="1755"/>
        <w:gridCol w:w="2025"/>
      </w:tblGrid>
      <w:tr>
        <w:tblPrEx>
          <w:shd w:val="clear" w:color="auto" w:fill="auto"/>
          <w:tblCellMar>
            <w:top w:w="0" w:type="dxa"/>
            <w:left w:w="0" w:type="dxa"/>
            <w:bottom w:w="0" w:type="dxa"/>
            <w:right w:w="0" w:type="dxa"/>
          </w:tblCellMar>
        </w:tblPrEx>
        <w:trPr>
          <w:trHeight w:val="312" w:hRule="atLeast"/>
        </w:trPr>
        <w:tc>
          <w:tcPr>
            <w:tcW w:w="9196" w:type="dxa"/>
            <w:gridSpan w:val="6"/>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附表1：</w:t>
            </w:r>
          </w:p>
          <w:p>
            <w:pPr>
              <w:pStyle w:val="2"/>
              <w:jc w:val="center"/>
              <w:rPr>
                <w:rFonts w:hint="default" w:eastAsia="方正仿宋简体"/>
                <w:lang w:val="en-US" w:eastAsia="zh-CN"/>
              </w:rPr>
            </w:pPr>
            <w:r>
              <w:rPr>
                <w:rFonts w:hint="eastAsia" w:ascii="方正小标宋简体" w:hAnsi="方正小标宋简体" w:eastAsia="方正小标宋简体" w:cs="方正小标宋简体"/>
                <w:color w:val="000000" w:themeColor="text1"/>
                <w:sz w:val="36"/>
                <w:szCs w:val="36"/>
                <w:lang w:val="en-US"/>
                <w14:textFill>
                  <w14:solidFill>
                    <w14:schemeClr w14:val="tx1"/>
                  </w14:solidFill>
                </w14:textFill>
              </w:rPr>
              <w:t>联盟地区药品集团带量采购产品清单</w:t>
            </w:r>
          </w:p>
        </w:tc>
      </w:tr>
      <w:tr>
        <w:tblPrEx>
          <w:tblCellMar>
            <w:top w:w="0" w:type="dxa"/>
            <w:left w:w="0" w:type="dxa"/>
            <w:bottom w:w="0" w:type="dxa"/>
            <w:right w:w="0" w:type="dxa"/>
          </w:tblCellMar>
        </w:tblPrEx>
        <w:trPr>
          <w:trHeight w:val="52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18"/>
                <w:szCs w:val="18"/>
                <w:u w:val="none"/>
              </w:rPr>
            </w:pPr>
            <w:r>
              <w:rPr>
                <w:rFonts w:hint="eastAsia" w:ascii="华文宋体" w:hAnsi="华文宋体" w:eastAsia="华文宋体" w:cs="华文宋体"/>
                <w:b/>
                <w:i w:val="0"/>
                <w:color w:val="000000"/>
                <w:kern w:val="0"/>
                <w:sz w:val="18"/>
                <w:szCs w:val="18"/>
                <w:u w:val="none"/>
                <w:lang w:val="en-US" w:eastAsia="zh-CN" w:bidi="ar"/>
              </w:rPr>
              <w:t>品种序号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18"/>
                <w:szCs w:val="18"/>
                <w:u w:val="none"/>
              </w:rPr>
            </w:pPr>
            <w:r>
              <w:rPr>
                <w:rFonts w:hint="eastAsia" w:ascii="华文宋体" w:hAnsi="华文宋体" w:eastAsia="华文宋体" w:cs="华文宋体"/>
                <w:b/>
                <w:i w:val="0"/>
                <w:color w:val="000000"/>
                <w:kern w:val="0"/>
                <w:sz w:val="18"/>
                <w:szCs w:val="18"/>
                <w:u w:val="none"/>
                <w:lang w:val="en-US" w:eastAsia="zh-CN" w:bidi="ar"/>
              </w:rPr>
              <w:t>类别</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18"/>
                <w:szCs w:val="18"/>
                <w:u w:val="none"/>
              </w:rPr>
            </w:pPr>
            <w:r>
              <w:rPr>
                <w:rFonts w:hint="eastAsia" w:ascii="华文宋体" w:hAnsi="华文宋体" w:eastAsia="华文宋体" w:cs="华文宋体"/>
                <w:b/>
                <w:i w:val="0"/>
                <w:color w:val="000000"/>
                <w:kern w:val="0"/>
                <w:sz w:val="18"/>
                <w:szCs w:val="18"/>
                <w:u w:val="none"/>
                <w:lang w:val="en-US" w:eastAsia="zh-CN" w:bidi="ar"/>
              </w:rPr>
              <w:t>备注</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18"/>
                <w:szCs w:val="18"/>
                <w:u w:val="none"/>
              </w:rPr>
            </w:pPr>
            <w:r>
              <w:rPr>
                <w:rFonts w:hint="eastAsia" w:ascii="华文宋体" w:hAnsi="华文宋体" w:eastAsia="华文宋体" w:cs="华文宋体"/>
                <w:b/>
                <w:i w:val="0"/>
                <w:color w:val="000000"/>
                <w:kern w:val="0"/>
                <w:sz w:val="18"/>
                <w:szCs w:val="18"/>
                <w:u w:val="none"/>
                <w:lang w:val="en-US" w:eastAsia="zh-CN" w:bidi="ar"/>
              </w:rPr>
              <w:t>品种名称</w:t>
            </w:r>
          </w:p>
        </w:tc>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18"/>
                <w:szCs w:val="18"/>
                <w:u w:val="none"/>
              </w:rPr>
            </w:pPr>
            <w:r>
              <w:rPr>
                <w:rFonts w:hint="eastAsia" w:ascii="华文宋体" w:hAnsi="华文宋体" w:eastAsia="华文宋体" w:cs="华文宋体"/>
                <w:b/>
                <w:i w:val="0"/>
                <w:color w:val="000000"/>
                <w:kern w:val="0"/>
                <w:sz w:val="18"/>
                <w:szCs w:val="18"/>
                <w:u w:val="none"/>
                <w:lang w:val="en-US" w:eastAsia="zh-CN" w:bidi="ar"/>
              </w:rPr>
              <w:t>统一代表剂型及品规                                         （简称统一代表品规）</w:t>
            </w:r>
          </w:p>
        </w:tc>
      </w:tr>
      <w:tr>
        <w:tblPrEx>
          <w:shd w:val="clear" w:color="auto" w:fill="auto"/>
          <w:tblCellMar>
            <w:top w:w="0" w:type="dxa"/>
            <w:left w:w="0" w:type="dxa"/>
            <w:bottom w:w="0" w:type="dxa"/>
            <w:right w:w="0" w:type="dxa"/>
          </w:tblCellMar>
        </w:tblPrEx>
        <w:trPr>
          <w:trHeight w:val="40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奥美拉唑口服常释剂型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10mg</w:t>
            </w:r>
          </w:p>
        </w:tc>
      </w:tr>
      <w:tr>
        <w:tblPrEx>
          <w:shd w:val="clear" w:color="auto" w:fill="auto"/>
          <w:tblCellMar>
            <w:top w:w="0" w:type="dxa"/>
            <w:left w:w="0" w:type="dxa"/>
            <w:bottom w:w="0" w:type="dxa"/>
            <w:right w:w="0" w:type="dxa"/>
          </w:tblCellMar>
        </w:tblPrEx>
        <w:trPr>
          <w:trHeight w:val="520"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蒙脱石口服散剂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散剂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3g</w:t>
            </w:r>
          </w:p>
        </w:tc>
      </w:tr>
      <w:tr>
        <w:tblPrEx>
          <w:tblCellMar>
            <w:top w:w="0" w:type="dxa"/>
            <w:left w:w="0" w:type="dxa"/>
            <w:bottom w:w="0" w:type="dxa"/>
            <w:right w:w="0" w:type="dxa"/>
          </w:tblCellMar>
        </w:tblPrEx>
        <w:trPr>
          <w:trHeight w:val="6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蒙脱石颗粒剂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散剂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蒙脱石口服液体剂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散剂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蒙脱石口服常释剂型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散剂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3g</w:t>
            </w:r>
          </w:p>
        </w:tc>
      </w:tr>
      <w:tr>
        <w:tblPrEx>
          <w:tblCellMar>
            <w:top w:w="0" w:type="dxa"/>
            <w:left w:w="0" w:type="dxa"/>
            <w:bottom w:w="0" w:type="dxa"/>
            <w:right w:w="0" w:type="dxa"/>
          </w:tblCellMar>
        </w:tblPrEx>
        <w:trPr>
          <w:trHeight w:val="584"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氯吡格雷口服常释剂型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75mg</w:t>
            </w:r>
          </w:p>
        </w:tc>
      </w:tr>
      <w:tr>
        <w:tblPrEx>
          <w:tblCellMar>
            <w:top w:w="0" w:type="dxa"/>
            <w:left w:w="0" w:type="dxa"/>
            <w:bottom w:w="0" w:type="dxa"/>
            <w:right w:w="0" w:type="dxa"/>
          </w:tblCellMar>
        </w:tblPrEx>
        <w:trPr>
          <w:trHeight w:val="494"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甲钴胺口服常释剂型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0.5mg</w:t>
            </w:r>
          </w:p>
        </w:tc>
      </w:tr>
      <w:tr>
        <w:tblPrEx>
          <w:tblCellMar>
            <w:top w:w="0" w:type="dxa"/>
            <w:left w:w="0" w:type="dxa"/>
            <w:bottom w:w="0" w:type="dxa"/>
            <w:right w:w="0" w:type="dxa"/>
          </w:tblCellMar>
        </w:tblPrEx>
        <w:trPr>
          <w:trHeight w:val="509"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甲钴胺口服常释剂型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0.5mg</w:t>
            </w:r>
          </w:p>
        </w:tc>
      </w:tr>
      <w:tr>
        <w:tblPrEx>
          <w:shd w:val="clear" w:color="auto" w:fill="auto"/>
          <w:tblCellMar>
            <w:top w:w="0" w:type="dxa"/>
            <w:left w:w="0" w:type="dxa"/>
            <w:bottom w:w="0" w:type="dxa"/>
            <w:right w:w="0" w:type="dxa"/>
          </w:tblCellMar>
        </w:tblPrEx>
        <w:trPr>
          <w:trHeight w:val="451"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甲钴胺注射剂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注射剂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1ml:0.5mg</w:t>
            </w:r>
          </w:p>
        </w:tc>
      </w:tr>
      <w:tr>
        <w:tblPrEx>
          <w:shd w:val="clear" w:color="auto" w:fill="auto"/>
          <w:tblCellMar>
            <w:top w:w="0" w:type="dxa"/>
            <w:left w:w="0" w:type="dxa"/>
            <w:bottom w:w="0" w:type="dxa"/>
            <w:right w:w="0" w:type="dxa"/>
          </w:tblCellMar>
        </w:tblPrEx>
        <w:trPr>
          <w:trHeight w:val="481"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4类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甲钴胺注射剂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注射剂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1ml:0.5mg</w:t>
            </w:r>
          </w:p>
        </w:tc>
      </w:tr>
      <w:tr>
        <w:tblPrEx>
          <w:tblCellMar>
            <w:top w:w="0" w:type="dxa"/>
            <w:left w:w="0" w:type="dxa"/>
            <w:bottom w:w="0" w:type="dxa"/>
            <w:right w:w="0" w:type="dxa"/>
          </w:tblCellMar>
        </w:tblPrEx>
        <w:trPr>
          <w:trHeight w:val="569"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氨氯地平口服常释剂型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5mg</w:t>
            </w:r>
          </w:p>
        </w:tc>
      </w:tr>
      <w:tr>
        <w:tblPrEx>
          <w:tblCellMar>
            <w:top w:w="0" w:type="dxa"/>
            <w:left w:w="0" w:type="dxa"/>
            <w:bottom w:w="0" w:type="dxa"/>
            <w:right w:w="0" w:type="dxa"/>
          </w:tblCellMar>
        </w:tblPrEx>
        <w:trPr>
          <w:trHeight w:val="539"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氨氯地平滴丸剂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滴丸剂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5mg</w:t>
            </w:r>
          </w:p>
        </w:tc>
      </w:tr>
      <w:tr>
        <w:tblPrEx>
          <w:shd w:val="clear" w:color="auto" w:fill="auto"/>
          <w:tblCellMar>
            <w:top w:w="0" w:type="dxa"/>
            <w:left w:w="0" w:type="dxa"/>
            <w:bottom w:w="0" w:type="dxa"/>
            <w:right w:w="0" w:type="dxa"/>
          </w:tblCellMar>
        </w:tblPrEx>
        <w:trPr>
          <w:trHeight w:val="554"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依那普利口服常释剂型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5mg</w:t>
            </w:r>
          </w:p>
        </w:tc>
      </w:tr>
      <w:tr>
        <w:tblPrEx>
          <w:tblCellMar>
            <w:top w:w="0" w:type="dxa"/>
            <w:left w:w="0" w:type="dxa"/>
            <w:bottom w:w="0" w:type="dxa"/>
            <w:right w:w="0" w:type="dxa"/>
          </w:tblCellMar>
        </w:tblPrEx>
        <w:trPr>
          <w:trHeight w:val="539"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依那普利口腔崩解片</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5mg</w:t>
            </w:r>
          </w:p>
        </w:tc>
      </w:tr>
      <w:tr>
        <w:tblPrEx>
          <w:tblCellMar>
            <w:top w:w="0" w:type="dxa"/>
            <w:left w:w="0" w:type="dxa"/>
            <w:bottom w:w="0" w:type="dxa"/>
            <w:right w:w="0" w:type="dxa"/>
          </w:tblCellMar>
        </w:tblPrEx>
        <w:trPr>
          <w:trHeight w:val="569"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7</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福辛普利口服常释剂型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10mg</w:t>
            </w:r>
          </w:p>
        </w:tc>
      </w:tr>
      <w:tr>
        <w:tblPrEx>
          <w:shd w:val="clear" w:color="auto" w:fill="auto"/>
          <w:tblCellMar>
            <w:top w:w="0" w:type="dxa"/>
            <w:left w:w="0" w:type="dxa"/>
            <w:bottom w:w="0" w:type="dxa"/>
            <w:right w:w="0" w:type="dxa"/>
          </w:tblCellMar>
        </w:tblPrEx>
        <w:trPr>
          <w:trHeight w:val="674"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福辛普利口服常释剂型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10mg</w:t>
            </w:r>
          </w:p>
        </w:tc>
      </w:tr>
      <w:tr>
        <w:tblPrEx>
          <w:tblCellMar>
            <w:top w:w="0" w:type="dxa"/>
            <w:left w:w="0" w:type="dxa"/>
            <w:bottom w:w="0" w:type="dxa"/>
            <w:right w:w="0" w:type="dxa"/>
          </w:tblCellMar>
        </w:tblPrEx>
        <w:trPr>
          <w:trHeight w:val="402"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赖诺普利口服常释剂型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10mg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赖诺普利口服常释剂型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10mg</w:t>
            </w:r>
          </w:p>
        </w:tc>
      </w:tr>
      <w:tr>
        <w:tblPrEx>
          <w:tblCellMar>
            <w:top w:w="0" w:type="dxa"/>
            <w:left w:w="0" w:type="dxa"/>
            <w:bottom w:w="0" w:type="dxa"/>
            <w:right w:w="0" w:type="dxa"/>
          </w:tblCellMar>
        </w:tblPrEx>
        <w:trPr>
          <w:trHeight w:val="40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9</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厄贝沙坦口服常释剂型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75mg</w:t>
            </w:r>
          </w:p>
        </w:tc>
      </w:tr>
      <w:tr>
        <w:tblPrEx>
          <w:shd w:val="clear" w:color="auto" w:fill="auto"/>
          <w:tblCellMar>
            <w:top w:w="0" w:type="dxa"/>
            <w:left w:w="0" w:type="dxa"/>
            <w:bottom w:w="0" w:type="dxa"/>
            <w:right w:w="0" w:type="dxa"/>
          </w:tblCellMar>
        </w:tblPrEx>
        <w:trPr>
          <w:trHeight w:val="40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氯沙坦口服常释剂型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50mg</w:t>
            </w:r>
          </w:p>
        </w:tc>
      </w:tr>
      <w:tr>
        <w:tblPrEx>
          <w:tblCellMar>
            <w:top w:w="0" w:type="dxa"/>
            <w:left w:w="0" w:type="dxa"/>
            <w:bottom w:w="0" w:type="dxa"/>
            <w:right w:w="0" w:type="dxa"/>
          </w:tblCellMar>
        </w:tblPrEx>
        <w:trPr>
          <w:trHeight w:val="60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11</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厄贝沙坦氢氯噻嗪口服常释剂型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厄贝沙坦150mg,氢氯噻嗪12.5mg</w:t>
            </w:r>
          </w:p>
        </w:tc>
      </w:tr>
      <w:tr>
        <w:tblPrEx>
          <w:shd w:val="clear" w:color="auto" w:fill="auto"/>
          <w:tblCellMar>
            <w:top w:w="0" w:type="dxa"/>
            <w:left w:w="0" w:type="dxa"/>
            <w:bottom w:w="0" w:type="dxa"/>
            <w:right w:w="0" w:type="dxa"/>
          </w:tblCellMar>
        </w:tblPrEx>
        <w:trPr>
          <w:trHeight w:val="764"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12</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阿托伐他汀口服常释剂型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10mg</w:t>
            </w:r>
          </w:p>
        </w:tc>
      </w:tr>
      <w:tr>
        <w:tblPrEx>
          <w:tblCellMar>
            <w:top w:w="0" w:type="dxa"/>
            <w:left w:w="0" w:type="dxa"/>
            <w:bottom w:w="0" w:type="dxa"/>
            <w:right w:w="0" w:type="dxa"/>
          </w:tblCellMar>
        </w:tblPrEx>
        <w:trPr>
          <w:trHeight w:val="719"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13</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瑞舒伐他汀口服常释剂型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10mg</w:t>
            </w:r>
          </w:p>
        </w:tc>
      </w:tr>
      <w:tr>
        <w:tblPrEx>
          <w:tblCellMar>
            <w:top w:w="0" w:type="dxa"/>
            <w:left w:w="0" w:type="dxa"/>
            <w:bottom w:w="0" w:type="dxa"/>
            <w:right w:w="0" w:type="dxa"/>
          </w:tblCellMar>
        </w:tblPrEx>
        <w:trPr>
          <w:trHeight w:val="659"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18"/>
                <w:szCs w:val="18"/>
                <w:u w:val="none"/>
                <w:lang w:val="en-US" w:eastAsia="zh-CN" w:bidi="zh-CN"/>
              </w:rPr>
            </w:pPr>
            <w:r>
              <w:rPr>
                <w:rFonts w:hint="eastAsia" w:ascii="华文宋体" w:hAnsi="华文宋体" w:eastAsia="华文宋体" w:cs="华文宋体"/>
                <w:b/>
                <w:i w:val="0"/>
                <w:color w:val="000000"/>
                <w:kern w:val="0"/>
                <w:sz w:val="18"/>
                <w:szCs w:val="18"/>
                <w:u w:val="none"/>
                <w:lang w:val="en-US" w:eastAsia="zh-CN" w:bidi="ar"/>
              </w:rPr>
              <w:t>品种序号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18"/>
                <w:szCs w:val="18"/>
                <w:u w:val="none"/>
                <w:lang w:val="en-US" w:eastAsia="zh-CN" w:bidi="zh-CN"/>
              </w:rPr>
            </w:pPr>
            <w:r>
              <w:rPr>
                <w:rFonts w:hint="eastAsia" w:ascii="华文宋体" w:hAnsi="华文宋体" w:eastAsia="华文宋体" w:cs="华文宋体"/>
                <w:b/>
                <w:i w:val="0"/>
                <w:color w:val="000000"/>
                <w:kern w:val="0"/>
                <w:sz w:val="18"/>
                <w:szCs w:val="18"/>
                <w:u w:val="none"/>
                <w:lang w:val="en-US" w:eastAsia="zh-CN" w:bidi="ar"/>
              </w:rPr>
              <w:t>类别</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18"/>
                <w:szCs w:val="18"/>
                <w:u w:val="none"/>
                <w:lang w:val="en-US" w:eastAsia="zh-CN" w:bidi="zh-CN"/>
              </w:rPr>
            </w:pPr>
            <w:r>
              <w:rPr>
                <w:rFonts w:hint="eastAsia" w:ascii="华文宋体" w:hAnsi="华文宋体" w:eastAsia="华文宋体" w:cs="华文宋体"/>
                <w:b/>
                <w:i w:val="0"/>
                <w:color w:val="000000"/>
                <w:kern w:val="0"/>
                <w:sz w:val="18"/>
                <w:szCs w:val="18"/>
                <w:u w:val="none"/>
                <w:lang w:val="en-US" w:eastAsia="zh-CN" w:bidi="ar"/>
              </w:rPr>
              <w:t>备注</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18"/>
                <w:szCs w:val="18"/>
                <w:u w:val="none"/>
                <w:lang w:val="en-US" w:eastAsia="zh-CN" w:bidi="zh-CN"/>
              </w:rPr>
            </w:pPr>
            <w:r>
              <w:rPr>
                <w:rFonts w:hint="eastAsia" w:ascii="华文宋体" w:hAnsi="华文宋体" w:eastAsia="华文宋体" w:cs="华文宋体"/>
                <w:b/>
                <w:i w:val="0"/>
                <w:color w:val="000000"/>
                <w:kern w:val="0"/>
                <w:sz w:val="18"/>
                <w:szCs w:val="18"/>
                <w:u w:val="none"/>
                <w:lang w:val="en-US" w:eastAsia="zh-CN" w:bidi="ar"/>
              </w:rPr>
              <w:t>品种名称</w:t>
            </w:r>
          </w:p>
        </w:tc>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kern w:val="0"/>
                <w:sz w:val="18"/>
                <w:szCs w:val="18"/>
                <w:u w:val="none"/>
                <w:lang w:val="en-US" w:eastAsia="zh-CN" w:bidi="ar"/>
              </w:rPr>
            </w:pPr>
            <w:r>
              <w:rPr>
                <w:rFonts w:hint="eastAsia" w:ascii="华文宋体" w:hAnsi="华文宋体" w:eastAsia="华文宋体" w:cs="华文宋体"/>
                <w:b/>
                <w:i w:val="0"/>
                <w:color w:val="000000"/>
                <w:kern w:val="0"/>
                <w:sz w:val="18"/>
                <w:szCs w:val="18"/>
                <w:u w:val="none"/>
                <w:lang w:val="en-US" w:eastAsia="zh-CN" w:bidi="ar"/>
              </w:rPr>
              <w:t>统一代表剂型及品规                                         （简称统一代表品规）</w:t>
            </w:r>
          </w:p>
        </w:tc>
      </w:tr>
      <w:tr>
        <w:tblPrEx>
          <w:shd w:val="clear" w:color="auto" w:fill="auto"/>
          <w:tblCellMar>
            <w:top w:w="0" w:type="dxa"/>
            <w:left w:w="0" w:type="dxa"/>
            <w:bottom w:w="0" w:type="dxa"/>
            <w:right w:w="0" w:type="dxa"/>
          </w:tblCellMar>
        </w:tblPrEx>
        <w:trPr>
          <w:trHeight w:val="659"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14</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环丙沙星口服常释剂型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0.25g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环丙沙星注射剂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注射剂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100ml:0.2g</w:t>
            </w:r>
          </w:p>
        </w:tc>
      </w:tr>
      <w:tr>
        <w:tblPrEx>
          <w:shd w:val="clear" w:color="auto" w:fill="auto"/>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环丙沙星注射剂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注射剂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100ml:0.2g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4类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环丙沙星滴耳剂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滴耳剂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5ml:15mg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环丙沙星滴眼剂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滴眼剂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5ml:15mg</w:t>
            </w:r>
          </w:p>
        </w:tc>
      </w:tr>
      <w:tr>
        <w:tblPrEx>
          <w:shd w:val="clear" w:color="auto" w:fill="auto"/>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环丙沙星眼膏剂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滴眼剂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2.5g:7.5mg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6类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环丙沙星缓释控释剂型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缓释片</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0.5g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7类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环丙沙星凝胶剂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软膏剂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10g:30mg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环丙沙星软膏剂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软膏剂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10g:30mg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8类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环丙沙星栓剂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栓剂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0.2g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9类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环丙沙星阴道泡腾片</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阴道泡腾片</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0.2g</w:t>
            </w:r>
          </w:p>
        </w:tc>
      </w:tr>
      <w:tr>
        <w:tblPrEx>
          <w:shd w:val="clear" w:color="auto" w:fill="auto"/>
          <w:tblCellMar>
            <w:top w:w="0" w:type="dxa"/>
            <w:left w:w="0" w:type="dxa"/>
            <w:bottom w:w="0" w:type="dxa"/>
            <w:right w:w="0" w:type="dxa"/>
          </w:tblCellMar>
        </w:tblPrEx>
        <w:trPr>
          <w:trHeight w:val="40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非那雄胺口服常释剂型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1mg</w:t>
            </w:r>
          </w:p>
        </w:tc>
      </w:tr>
      <w:tr>
        <w:tblPrEx>
          <w:shd w:val="clear" w:color="auto" w:fill="auto"/>
          <w:tblCellMar>
            <w:top w:w="0" w:type="dxa"/>
            <w:left w:w="0" w:type="dxa"/>
            <w:bottom w:w="0" w:type="dxa"/>
            <w:right w:w="0" w:type="dxa"/>
          </w:tblCellMar>
        </w:tblPrEx>
        <w:trPr>
          <w:trHeight w:val="402"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16</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阿莫西林颗粒剂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颗粒剂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0.125g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阿莫西林口服液体剂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颗粒剂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0.125g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97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阿莫西林咀嚼片</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颗粒剂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0.125g</w:t>
            </w:r>
          </w:p>
        </w:tc>
      </w:tr>
      <w:tr>
        <w:tblPrEx>
          <w:shd w:val="clear" w:color="auto" w:fill="auto"/>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lang w:val="zh-CN" w:eastAsia="zh-CN" w:bidi="zh-CN"/>
              </w:rPr>
            </w:pPr>
            <w:r>
              <w:rPr>
                <w:rFonts w:hint="eastAsia" w:ascii="华文宋体" w:hAnsi="华文宋体" w:eastAsia="华文宋体" w:cs="华文宋体"/>
                <w:i w:val="0"/>
                <w:color w:val="000000"/>
                <w:kern w:val="0"/>
                <w:sz w:val="18"/>
                <w:szCs w:val="18"/>
                <w:u w:val="none"/>
                <w:lang w:val="en-US" w:eastAsia="zh-CN" w:bidi="ar"/>
              </w:rPr>
              <w:t>3类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lang w:val="zh-CN" w:eastAsia="zh-CN" w:bidi="zh-CN"/>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阿莫西林口腔崩解片</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颗粒剂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0.125g</w:t>
            </w:r>
          </w:p>
        </w:tc>
      </w:tr>
      <w:tr>
        <w:tblPrEx>
          <w:shd w:val="clear" w:color="auto" w:fill="auto"/>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4类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阿莫西林注射剂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注射剂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0.5g</w:t>
            </w:r>
          </w:p>
        </w:tc>
      </w:tr>
      <w:tr>
        <w:tblPrEx>
          <w:tblCellMar>
            <w:top w:w="0" w:type="dxa"/>
            <w:left w:w="0" w:type="dxa"/>
            <w:bottom w:w="0" w:type="dxa"/>
            <w:right w:w="0" w:type="dxa"/>
          </w:tblCellMar>
        </w:tblPrEx>
        <w:trPr>
          <w:trHeight w:val="402"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17</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头孢呋辛酯口服常释剂型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0.125g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头孢呋辛酯口服液体剂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0.125g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头孢呋辛酯颗粒剂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0.125g</w:t>
            </w:r>
          </w:p>
        </w:tc>
      </w:tr>
      <w:tr>
        <w:tblPrEx>
          <w:shd w:val="clear" w:color="auto" w:fill="auto"/>
          <w:tblCellMar>
            <w:top w:w="0" w:type="dxa"/>
            <w:left w:w="0" w:type="dxa"/>
            <w:bottom w:w="0" w:type="dxa"/>
            <w:right w:w="0" w:type="dxa"/>
          </w:tblCellMar>
        </w:tblPrEx>
        <w:trPr>
          <w:trHeight w:val="402"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18</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左氧氟沙星滴眼剂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滴眼剂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5ml:24.4mg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左氧氟沙星滴耳剂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滴耳剂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5ml:25mg</w:t>
            </w:r>
          </w:p>
        </w:tc>
      </w:tr>
      <w:tr>
        <w:tblPrEx>
          <w:shd w:val="clear" w:color="auto" w:fill="auto"/>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左氧氟沙星软膏剂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乳膏剂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15g:45mg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4类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左氧氟沙星眼用凝胶剂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滴眼剂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5g:15mg</w:t>
            </w:r>
          </w:p>
        </w:tc>
      </w:tr>
      <w:tr>
        <w:tblPrEx>
          <w:tblCellMar>
            <w:top w:w="0" w:type="dxa"/>
            <w:left w:w="0" w:type="dxa"/>
            <w:bottom w:w="0" w:type="dxa"/>
            <w:right w:w="0" w:type="dxa"/>
          </w:tblCellMar>
        </w:tblPrEx>
        <w:trPr>
          <w:trHeight w:val="40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19</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莫西沙星注射剂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注射剂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20ml:0.4g</w:t>
            </w:r>
          </w:p>
        </w:tc>
      </w:tr>
      <w:tr>
        <w:tblPrEx>
          <w:tblCellMar>
            <w:top w:w="0" w:type="dxa"/>
            <w:left w:w="0" w:type="dxa"/>
            <w:bottom w:w="0" w:type="dxa"/>
            <w:right w:w="0" w:type="dxa"/>
          </w:tblCellMar>
        </w:tblPrEx>
        <w:trPr>
          <w:trHeight w:val="402"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20</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利奈唑胺口服液体剂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0.6g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利奈唑胺口服常释剂型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0.6g</w:t>
            </w:r>
          </w:p>
        </w:tc>
      </w:tr>
      <w:tr>
        <w:tblPrEx>
          <w:tblCellMar>
            <w:top w:w="0" w:type="dxa"/>
            <w:left w:w="0" w:type="dxa"/>
            <w:bottom w:w="0" w:type="dxa"/>
            <w:right w:w="0" w:type="dxa"/>
          </w:tblCellMar>
        </w:tblPrEx>
        <w:trPr>
          <w:trHeight w:val="402"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21</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恩替卡韦口服常释剂型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0.5mg</w:t>
            </w:r>
          </w:p>
        </w:tc>
      </w:tr>
      <w:tr>
        <w:tblPrEx>
          <w:shd w:val="clear" w:color="auto" w:fill="auto"/>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恩替卡韦口服液体剂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0.5mg</w:t>
            </w:r>
          </w:p>
        </w:tc>
      </w:tr>
      <w:tr>
        <w:tblPrEx>
          <w:tblCellMar>
            <w:top w:w="0" w:type="dxa"/>
            <w:left w:w="0" w:type="dxa"/>
            <w:bottom w:w="0" w:type="dxa"/>
            <w:right w:w="0" w:type="dxa"/>
          </w:tblCellMar>
        </w:tblPrEx>
        <w:trPr>
          <w:trHeight w:val="40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22</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替诺福韦二吡呋酯口服常释剂型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0.3g</w:t>
            </w:r>
          </w:p>
        </w:tc>
      </w:tr>
      <w:tr>
        <w:tblPrEx>
          <w:tblCellMar>
            <w:top w:w="0" w:type="dxa"/>
            <w:left w:w="0" w:type="dxa"/>
            <w:bottom w:w="0" w:type="dxa"/>
            <w:right w:w="0" w:type="dxa"/>
          </w:tblCellMar>
        </w:tblPrEx>
        <w:trPr>
          <w:trHeight w:val="40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18"/>
                <w:szCs w:val="18"/>
                <w:u w:val="none"/>
                <w:lang w:val="en-US" w:eastAsia="zh-CN" w:bidi="zh-CN"/>
              </w:rPr>
            </w:pPr>
            <w:r>
              <w:rPr>
                <w:rFonts w:hint="eastAsia" w:ascii="华文宋体" w:hAnsi="华文宋体" w:eastAsia="华文宋体" w:cs="华文宋体"/>
                <w:b/>
                <w:i w:val="0"/>
                <w:color w:val="000000"/>
                <w:kern w:val="0"/>
                <w:sz w:val="18"/>
                <w:szCs w:val="18"/>
                <w:u w:val="none"/>
                <w:lang w:val="en-US" w:eastAsia="zh-CN" w:bidi="ar"/>
              </w:rPr>
              <w:t>品种序号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18"/>
                <w:szCs w:val="18"/>
                <w:u w:val="none"/>
                <w:lang w:val="en-US" w:eastAsia="zh-CN" w:bidi="zh-CN"/>
              </w:rPr>
            </w:pPr>
            <w:r>
              <w:rPr>
                <w:rFonts w:hint="eastAsia" w:ascii="华文宋体" w:hAnsi="华文宋体" w:eastAsia="华文宋体" w:cs="华文宋体"/>
                <w:b/>
                <w:i w:val="0"/>
                <w:color w:val="000000"/>
                <w:kern w:val="0"/>
                <w:sz w:val="18"/>
                <w:szCs w:val="18"/>
                <w:u w:val="none"/>
                <w:lang w:val="en-US" w:eastAsia="zh-CN" w:bidi="ar"/>
              </w:rPr>
              <w:t>类别</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18"/>
                <w:szCs w:val="18"/>
                <w:u w:val="none"/>
                <w:lang w:val="en-US" w:eastAsia="zh-CN" w:bidi="zh-CN"/>
              </w:rPr>
            </w:pPr>
            <w:r>
              <w:rPr>
                <w:rFonts w:hint="eastAsia" w:ascii="华文宋体" w:hAnsi="华文宋体" w:eastAsia="华文宋体" w:cs="华文宋体"/>
                <w:b/>
                <w:i w:val="0"/>
                <w:color w:val="000000"/>
                <w:kern w:val="0"/>
                <w:sz w:val="18"/>
                <w:szCs w:val="18"/>
                <w:u w:val="none"/>
                <w:lang w:val="en-US" w:eastAsia="zh-CN" w:bidi="ar"/>
              </w:rPr>
              <w:t>备注</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18"/>
                <w:szCs w:val="18"/>
                <w:u w:val="none"/>
                <w:lang w:val="en-US" w:eastAsia="zh-CN" w:bidi="zh-CN"/>
              </w:rPr>
            </w:pPr>
            <w:r>
              <w:rPr>
                <w:rFonts w:hint="eastAsia" w:ascii="华文宋体" w:hAnsi="华文宋体" w:eastAsia="华文宋体" w:cs="华文宋体"/>
                <w:b/>
                <w:i w:val="0"/>
                <w:color w:val="000000"/>
                <w:kern w:val="0"/>
                <w:sz w:val="18"/>
                <w:szCs w:val="18"/>
                <w:u w:val="none"/>
                <w:lang w:val="en-US" w:eastAsia="zh-CN" w:bidi="ar"/>
              </w:rPr>
              <w:t>品种名称</w:t>
            </w:r>
          </w:p>
        </w:tc>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b/>
                <w:i w:val="0"/>
                <w:color w:val="000000"/>
                <w:kern w:val="0"/>
                <w:sz w:val="18"/>
                <w:szCs w:val="18"/>
                <w:u w:val="none"/>
                <w:lang w:val="en-US" w:eastAsia="zh-CN" w:bidi="ar"/>
              </w:rPr>
              <w:t>统一代表剂型及品规                                         （简称统一代表品规）</w:t>
            </w:r>
          </w:p>
        </w:tc>
      </w:tr>
      <w:tr>
        <w:tblPrEx>
          <w:shd w:val="clear" w:color="auto" w:fill="auto"/>
          <w:tblCellMar>
            <w:top w:w="0" w:type="dxa"/>
            <w:left w:w="0" w:type="dxa"/>
            <w:bottom w:w="0" w:type="dxa"/>
            <w:right w:w="0" w:type="dxa"/>
          </w:tblCellMar>
        </w:tblPrEx>
        <w:trPr>
          <w:trHeight w:val="402"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lang w:val="zh-CN" w:eastAsia="zh-CN" w:bidi="zh-CN"/>
              </w:rPr>
            </w:pPr>
            <w:r>
              <w:rPr>
                <w:rFonts w:hint="eastAsia" w:ascii="华文宋体" w:hAnsi="华文宋体" w:eastAsia="华文宋体" w:cs="华文宋体"/>
                <w:i w:val="0"/>
                <w:color w:val="000000"/>
                <w:kern w:val="0"/>
                <w:sz w:val="18"/>
                <w:szCs w:val="18"/>
                <w:u w:val="none"/>
                <w:lang w:val="en-US" w:eastAsia="zh-CN" w:bidi="ar"/>
              </w:rPr>
              <w:t>23</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lang w:val="zh-CN" w:eastAsia="zh-CN" w:bidi="zh-CN"/>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lang w:val="zh-CN" w:eastAsia="zh-CN" w:bidi="zh-CN"/>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lang w:val="zh-CN" w:eastAsia="zh-CN" w:bidi="zh-CN"/>
              </w:rPr>
            </w:pPr>
            <w:r>
              <w:rPr>
                <w:rFonts w:hint="eastAsia" w:ascii="华文宋体" w:hAnsi="华文宋体" w:eastAsia="华文宋体" w:cs="华文宋体"/>
                <w:i w:val="0"/>
                <w:color w:val="000000"/>
                <w:kern w:val="0"/>
                <w:sz w:val="18"/>
                <w:szCs w:val="18"/>
                <w:u w:val="none"/>
                <w:lang w:val="en-US" w:eastAsia="zh-CN" w:bidi="ar"/>
              </w:rPr>
              <w:t>培美曲塞注射剂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lang w:val="zh-CN" w:eastAsia="zh-CN" w:bidi="zh-CN"/>
              </w:rPr>
            </w:pPr>
            <w:r>
              <w:rPr>
                <w:rFonts w:hint="eastAsia" w:ascii="华文宋体" w:hAnsi="华文宋体" w:eastAsia="华文宋体" w:cs="华文宋体"/>
                <w:i w:val="0"/>
                <w:color w:val="000000"/>
                <w:kern w:val="0"/>
                <w:sz w:val="18"/>
                <w:szCs w:val="18"/>
                <w:u w:val="none"/>
                <w:lang w:val="en-US" w:eastAsia="zh-CN" w:bidi="ar"/>
              </w:rPr>
              <w:t>注射剂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lang w:val="zh-CN" w:eastAsia="zh-CN" w:bidi="zh-CN"/>
              </w:rPr>
            </w:pPr>
            <w:r>
              <w:rPr>
                <w:rFonts w:hint="eastAsia" w:ascii="华文宋体" w:hAnsi="华文宋体" w:eastAsia="华文宋体" w:cs="华文宋体"/>
                <w:i w:val="0"/>
                <w:color w:val="000000"/>
                <w:kern w:val="0"/>
                <w:sz w:val="18"/>
                <w:szCs w:val="18"/>
                <w:u w:val="none"/>
                <w:lang w:val="en-US" w:eastAsia="zh-CN" w:bidi="ar"/>
              </w:rPr>
              <w:t>0.1g</w:t>
            </w:r>
          </w:p>
        </w:tc>
      </w:tr>
      <w:tr>
        <w:tblPrEx>
          <w:tblCellMar>
            <w:top w:w="0" w:type="dxa"/>
            <w:left w:w="0" w:type="dxa"/>
            <w:bottom w:w="0" w:type="dxa"/>
            <w:right w:w="0" w:type="dxa"/>
          </w:tblCellMar>
        </w:tblPrEx>
        <w:trPr>
          <w:trHeight w:val="56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lang w:val="en-US" w:eastAsia="zh-CN" w:bidi="zh-CN"/>
              </w:rPr>
            </w:pPr>
            <w:r>
              <w:rPr>
                <w:rFonts w:hint="eastAsia" w:ascii="华文宋体" w:hAnsi="华文宋体" w:eastAsia="华文宋体" w:cs="华文宋体"/>
                <w:i w:val="0"/>
                <w:color w:val="000000"/>
                <w:kern w:val="0"/>
                <w:sz w:val="18"/>
                <w:szCs w:val="18"/>
                <w:u w:val="none"/>
                <w:lang w:val="en-US" w:eastAsia="zh-CN" w:bidi="ar"/>
              </w:rPr>
              <w:t>24</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lang w:val="en-US" w:eastAsia="zh-CN" w:bidi="zh-CN"/>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lang w:val="en-US" w:eastAsia="zh-CN" w:bidi="zh-CN"/>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lang w:val="en-US" w:eastAsia="zh-CN" w:bidi="zh-CN"/>
              </w:rPr>
            </w:pPr>
            <w:r>
              <w:rPr>
                <w:rFonts w:hint="eastAsia" w:ascii="华文宋体" w:hAnsi="华文宋体" w:eastAsia="华文宋体" w:cs="华文宋体"/>
                <w:i w:val="0"/>
                <w:color w:val="000000"/>
                <w:kern w:val="0"/>
                <w:sz w:val="18"/>
                <w:szCs w:val="18"/>
                <w:u w:val="none"/>
                <w:lang w:val="en-US" w:eastAsia="zh-CN" w:bidi="ar"/>
              </w:rPr>
              <w:t>卡培他滨口服常释剂型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lang w:val="en-US" w:eastAsia="zh-CN" w:bidi="zh-CN"/>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lang w:val="en-US" w:eastAsia="zh-CN" w:bidi="zh-CN"/>
              </w:rPr>
            </w:pPr>
            <w:r>
              <w:rPr>
                <w:rFonts w:hint="eastAsia" w:ascii="华文宋体" w:hAnsi="华文宋体" w:eastAsia="华文宋体" w:cs="华文宋体"/>
                <w:i w:val="0"/>
                <w:color w:val="000000"/>
                <w:kern w:val="0"/>
                <w:sz w:val="18"/>
                <w:szCs w:val="18"/>
                <w:u w:val="none"/>
                <w:lang w:val="en-US" w:eastAsia="zh-CN" w:bidi="ar"/>
              </w:rPr>
              <w:t>0.5g</w:t>
            </w:r>
          </w:p>
        </w:tc>
      </w:tr>
      <w:tr>
        <w:tblPrEx>
          <w:tblCellMar>
            <w:top w:w="0" w:type="dxa"/>
            <w:left w:w="0" w:type="dxa"/>
            <w:bottom w:w="0" w:type="dxa"/>
            <w:right w:w="0" w:type="dxa"/>
          </w:tblCellMar>
        </w:tblPrEx>
        <w:trPr>
          <w:trHeight w:val="56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25</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阿扎胞苷注射剂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注射剂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100mg</w:t>
            </w:r>
          </w:p>
        </w:tc>
      </w:tr>
      <w:tr>
        <w:tblPrEx>
          <w:shd w:val="clear" w:color="auto" w:fill="auto"/>
          <w:tblCellMar>
            <w:top w:w="0" w:type="dxa"/>
            <w:left w:w="0" w:type="dxa"/>
            <w:bottom w:w="0" w:type="dxa"/>
            <w:right w:w="0" w:type="dxa"/>
          </w:tblCellMar>
        </w:tblPrEx>
        <w:trPr>
          <w:trHeight w:val="614"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26</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吉非替尼口服常释剂型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0.25g</w:t>
            </w:r>
          </w:p>
        </w:tc>
      </w:tr>
      <w:tr>
        <w:tblPrEx>
          <w:tblCellMar>
            <w:top w:w="0" w:type="dxa"/>
            <w:left w:w="0" w:type="dxa"/>
            <w:bottom w:w="0" w:type="dxa"/>
            <w:right w:w="0" w:type="dxa"/>
          </w:tblCellMar>
        </w:tblPrEx>
        <w:trPr>
          <w:trHeight w:val="599"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27</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伊马替尼口服常释剂型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100mg</w:t>
            </w:r>
          </w:p>
        </w:tc>
      </w:tr>
      <w:tr>
        <w:tblPrEx>
          <w:tblCellMar>
            <w:top w:w="0" w:type="dxa"/>
            <w:left w:w="0" w:type="dxa"/>
            <w:bottom w:w="0" w:type="dxa"/>
            <w:right w:w="0" w:type="dxa"/>
          </w:tblCellMar>
        </w:tblPrEx>
        <w:trPr>
          <w:trHeight w:val="554"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28</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来曲唑口服常释剂型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2.5mg</w:t>
            </w:r>
          </w:p>
        </w:tc>
      </w:tr>
      <w:tr>
        <w:tblPrEx>
          <w:tblCellMar>
            <w:top w:w="0" w:type="dxa"/>
            <w:left w:w="0" w:type="dxa"/>
            <w:bottom w:w="0" w:type="dxa"/>
            <w:right w:w="0" w:type="dxa"/>
          </w:tblCellMar>
        </w:tblPrEx>
        <w:trPr>
          <w:trHeight w:val="659"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29</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氟比洛芬酯注射剂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注射剂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5ml:50mg</w:t>
            </w:r>
          </w:p>
        </w:tc>
      </w:tr>
      <w:tr>
        <w:tblPrEx>
          <w:tblCellMar>
            <w:top w:w="0" w:type="dxa"/>
            <w:left w:w="0" w:type="dxa"/>
            <w:bottom w:w="0" w:type="dxa"/>
            <w:right w:w="0" w:type="dxa"/>
          </w:tblCellMar>
        </w:tblPrEx>
        <w:trPr>
          <w:trHeight w:val="614"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氟比洛芬缓释控释剂型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缓释控释剂型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0.2g</w:t>
            </w:r>
          </w:p>
        </w:tc>
      </w:tr>
      <w:tr>
        <w:tblPrEx>
          <w:tblCellMar>
            <w:top w:w="0" w:type="dxa"/>
            <w:left w:w="0" w:type="dxa"/>
            <w:bottom w:w="0" w:type="dxa"/>
            <w:right w:w="0" w:type="dxa"/>
          </w:tblCellMar>
        </w:tblPrEx>
        <w:trPr>
          <w:trHeight w:val="66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氟比洛芬贴剂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auto"/>
                <w:sz w:val="18"/>
                <w:szCs w:val="18"/>
                <w:u w:val="none"/>
              </w:rPr>
            </w:pPr>
            <w:r>
              <w:rPr>
                <w:rFonts w:hint="eastAsia" w:ascii="华文宋体" w:hAnsi="华文宋体" w:eastAsia="华文宋体" w:cs="华文宋体"/>
                <w:i w:val="0"/>
                <w:color w:val="auto"/>
                <w:kern w:val="0"/>
                <w:sz w:val="18"/>
                <w:szCs w:val="18"/>
                <w:u w:val="none"/>
                <w:lang w:val="en-US" w:eastAsia="zh-CN" w:bidi="ar"/>
              </w:rPr>
              <w:t>贴剂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auto"/>
                <w:sz w:val="18"/>
                <w:szCs w:val="18"/>
                <w:u w:val="none"/>
              </w:rPr>
            </w:pPr>
            <w:r>
              <w:rPr>
                <w:rFonts w:hint="eastAsia" w:ascii="华文宋体" w:hAnsi="华文宋体" w:eastAsia="华文宋体" w:cs="华文宋体"/>
                <w:i w:val="0"/>
                <w:color w:val="auto"/>
                <w:kern w:val="0"/>
                <w:sz w:val="18"/>
                <w:szCs w:val="18"/>
                <w:u w:val="none"/>
                <w:lang w:val="en-US" w:eastAsia="zh-CN" w:bidi="ar"/>
              </w:rPr>
              <w:t>13.6cm×10cm              （含氟比洛芬40mg）</w:t>
            </w:r>
          </w:p>
        </w:tc>
      </w:tr>
      <w:tr>
        <w:tblPrEx>
          <w:shd w:val="clear" w:color="auto" w:fill="auto"/>
          <w:tblCellMar>
            <w:top w:w="0" w:type="dxa"/>
            <w:left w:w="0" w:type="dxa"/>
            <w:bottom w:w="0" w:type="dxa"/>
            <w:right w:w="0" w:type="dxa"/>
          </w:tblCellMar>
        </w:tblPrEx>
        <w:trPr>
          <w:trHeight w:val="68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洛索洛芬贴剂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auto"/>
                <w:sz w:val="18"/>
                <w:szCs w:val="18"/>
                <w:u w:val="none"/>
              </w:rPr>
            </w:pPr>
            <w:r>
              <w:rPr>
                <w:rFonts w:hint="eastAsia" w:ascii="华文宋体" w:hAnsi="华文宋体" w:eastAsia="华文宋体" w:cs="华文宋体"/>
                <w:i w:val="0"/>
                <w:color w:val="auto"/>
                <w:kern w:val="0"/>
                <w:sz w:val="18"/>
                <w:szCs w:val="18"/>
                <w:u w:val="none"/>
                <w:lang w:val="en-US" w:eastAsia="zh-CN" w:bidi="ar"/>
              </w:rPr>
              <w:t>贴剂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auto"/>
                <w:sz w:val="18"/>
                <w:szCs w:val="18"/>
                <w:u w:val="none"/>
              </w:rPr>
            </w:pPr>
            <w:r>
              <w:rPr>
                <w:rFonts w:hint="eastAsia" w:ascii="华文宋体" w:hAnsi="华文宋体" w:eastAsia="华文宋体" w:cs="华文宋体"/>
                <w:i w:val="0"/>
                <w:color w:val="auto"/>
                <w:kern w:val="0"/>
                <w:sz w:val="18"/>
                <w:szCs w:val="18"/>
                <w:u w:val="none"/>
                <w:lang w:val="en-US" w:eastAsia="zh-CN" w:bidi="ar"/>
              </w:rPr>
              <w:t>14cm×10cm                 （含洛索洛芬钠100mg）</w:t>
            </w:r>
          </w:p>
        </w:tc>
      </w:tr>
      <w:tr>
        <w:tblPrEx>
          <w:tblCellMar>
            <w:top w:w="0" w:type="dxa"/>
            <w:left w:w="0" w:type="dxa"/>
            <w:bottom w:w="0" w:type="dxa"/>
            <w:right w:w="0" w:type="dxa"/>
          </w:tblCellMar>
        </w:tblPrEx>
        <w:trPr>
          <w:trHeight w:val="68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4类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氟比洛芬贴剂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auto"/>
                <w:sz w:val="18"/>
                <w:szCs w:val="18"/>
                <w:u w:val="none"/>
              </w:rPr>
            </w:pPr>
            <w:r>
              <w:rPr>
                <w:rFonts w:hint="eastAsia" w:ascii="华文宋体" w:hAnsi="华文宋体" w:eastAsia="华文宋体" w:cs="华文宋体"/>
                <w:i w:val="0"/>
                <w:color w:val="auto"/>
                <w:kern w:val="0"/>
                <w:sz w:val="18"/>
                <w:szCs w:val="18"/>
                <w:u w:val="none"/>
                <w:lang w:val="en-US" w:eastAsia="zh-CN" w:bidi="ar"/>
              </w:rPr>
              <w:t>贴剂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auto"/>
                <w:sz w:val="18"/>
                <w:szCs w:val="18"/>
                <w:u w:val="none"/>
              </w:rPr>
            </w:pPr>
            <w:r>
              <w:rPr>
                <w:rFonts w:hint="eastAsia" w:ascii="华文宋体" w:hAnsi="华文宋体" w:eastAsia="华文宋体" w:cs="华文宋体"/>
                <w:i w:val="0"/>
                <w:color w:val="auto"/>
                <w:kern w:val="0"/>
                <w:sz w:val="18"/>
                <w:szCs w:val="18"/>
                <w:u w:val="none"/>
                <w:lang w:val="en-US" w:eastAsia="zh-CN" w:bidi="ar"/>
              </w:rPr>
              <w:t>13.6cm×10cm                    （含氟比洛芬40mg）</w:t>
            </w:r>
          </w:p>
        </w:tc>
      </w:tr>
      <w:tr>
        <w:tblPrEx>
          <w:shd w:val="clear" w:color="auto" w:fill="auto"/>
          <w:tblCellMar>
            <w:top w:w="0" w:type="dxa"/>
            <w:left w:w="0" w:type="dxa"/>
            <w:bottom w:w="0" w:type="dxa"/>
            <w:right w:w="0" w:type="dxa"/>
          </w:tblCellMar>
        </w:tblPrEx>
        <w:trPr>
          <w:trHeight w:val="74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洛索洛芬贴剂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auto"/>
                <w:sz w:val="18"/>
                <w:szCs w:val="18"/>
                <w:u w:val="none"/>
              </w:rPr>
            </w:pPr>
            <w:r>
              <w:rPr>
                <w:rFonts w:hint="eastAsia" w:ascii="华文宋体" w:hAnsi="华文宋体" w:eastAsia="华文宋体" w:cs="华文宋体"/>
                <w:i w:val="0"/>
                <w:color w:val="auto"/>
                <w:kern w:val="0"/>
                <w:sz w:val="18"/>
                <w:szCs w:val="18"/>
                <w:u w:val="none"/>
                <w:lang w:val="en-US" w:eastAsia="zh-CN" w:bidi="ar"/>
              </w:rPr>
              <w:t>贴剂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auto"/>
                <w:sz w:val="18"/>
                <w:szCs w:val="18"/>
                <w:u w:val="none"/>
              </w:rPr>
            </w:pPr>
            <w:r>
              <w:rPr>
                <w:rFonts w:hint="eastAsia" w:ascii="华文宋体" w:hAnsi="华文宋体" w:eastAsia="华文宋体" w:cs="华文宋体"/>
                <w:i w:val="0"/>
                <w:color w:val="auto"/>
                <w:kern w:val="0"/>
                <w:sz w:val="18"/>
                <w:szCs w:val="18"/>
                <w:u w:val="none"/>
                <w:lang w:val="en-US" w:eastAsia="zh-CN" w:bidi="ar"/>
              </w:rPr>
              <w:t>7cm×10cm                           （含洛索洛芬钠50mg）</w:t>
            </w:r>
          </w:p>
        </w:tc>
      </w:tr>
      <w:tr>
        <w:tblPrEx>
          <w:tblCellMar>
            <w:top w:w="0" w:type="dxa"/>
            <w:left w:w="0" w:type="dxa"/>
            <w:bottom w:w="0" w:type="dxa"/>
            <w:right w:w="0" w:type="dxa"/>
          </w:tblCellMar>
        </w:tblPrEx>
        <w:trPr>
          <w:trHeight w:val="509"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依托考昔口服常释剂型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60mg</w:t>
            </w:r>
          </w:p>
        </w:tc>
      </w:tr>
      <w:tr>
        <w:tblPrEx>
          <w:shd w:val="clear" w:color="auto" w:fill="auto"/>
          <w:tblCellMar>
            <w:top w:w="0" w:type="dxa"/>
            <w:left w:w="0" w:type="dxa"/>
            <w:bottom w:w="0" w:type="dxa"/>
            <w:right w:w="0" w:type="dxa"/>
          </w:tblCellMar>
        </w:tblPrEx>
        <w:trPr>
          <w:trHeight w:val="509"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31</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左乙拉西坦缓释控释剂型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缓释控释剂型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0.5g</w:t>
            </w:r>
          </w:p>
        </w:tc>
      </w:tr>
      <w:tr>
        <w:tblPrEx>
          <w:tblCellMar>
            <w:top w:w="0" w:type="dxa"/>
            <w:left w:w="0" w:type="dxa"/>
            <w:bottom w:w="0" w:type="dxa"/>
            <w:right w:w="0" w:type="dxa"/>
          </w:tblCellMar>
        </w:tblPrEx>
        <w:trPr>
          <w:trHeight w:val="494"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左乙拉西坦口服常释剂型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0.5g</w:t>
            </w:r>
          </w:p>
        </w:tc>
      </w:tr>
      <w:tr>
        <w:tblPrEx>
          <w:tblCellMar>
            <w:top w:w="0" w:type="dxa"/>
            <w:left w:w="0" w:type="dxa"/>
            <w:bottom w:w="0" w:type="dxa"/>
            <w:right w:w="0" w:type="dxa"/>
          </w:tblCellMar>
        </w:tblPrEx>
        <w:trPr>
          <w:trHeight w:val="614"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左乙拉西坦口服液体剂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0.5g</w:t>
            </w:r>
          </w:p>
        </w:tc>
      </w:tr>
      <w:tr>
        <w:tblPrEx>
          <w:shd w:val="clear" w:color="auto" w:fill="auto"/>
          <w:tblCellMar>
            <w:top w:w="0" w:type="dxa"/>
            <w:left w:w="0" w:type="dxa"/>
            <w:bottom w:w="0" w:type="dxa"/>
            <w:right w:w="0" w:type="dxa"/>
          </w:tblCellMar>
        </w:tblPrEx>
        <w:trPr>
          <w:trHeight w:val="524"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4类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左乙拉西坦注射剂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注射剂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5ml:0.5g</w:t>
            </w:r>
          </w:p>
        </w:tc>
      </w:tr>
      <w:tr>
        <w:tblPrEx>
          <w:tblCellMar>
            <w:top w:w="0" w:type="dxa"/>
            <w:left w:w="0" w:type="dxa"/>
            <w:bottom w:w="0" w:type="dxa"/>
            <w:right w:w="0" w:type="dxa"/>
          </w:tblCellMar>
        </w:tblPrEx>
        <w:trPr>
          <w:trHeight w:val="569"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左乙拉西坦口服液体剂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0.5g</w:t>
            </w:r>
          </w:p>
        </w:tc>
      </w:tr>
      <w:tr>
        <w:tblPrEx>
          <w:shd w:val="clear" w:color="auto" w:fill="auto"/>
          <w:tblCellMar>
            <w:top w:w="0" w:type="dxa"/>
            <w:left w:w="0" w:type="dxa"/>
            <w:bottom w:w="0" w:type="dxa"/>
            <w:right w:w="0" w:type="dxa"/>
          </w:tblCellMar>
        </w:tblPrEx>
        <w:trPr>
          <w:trHeight w:val="479"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32</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氯氮平口服常释剂型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25mg</w:t>
            </w:r>
          </w:p>
        </w:tc>
      </w:tr>
      <w:tr>
        <w:tblPrEx>
          <w:shd w:val="clear" w:color="auto" w:fill="auto"/>
          <w:tblCellMar>
            <w:top w:w="0" w:type="dxa"/>
            <w:left w:w="0" w:type="dxa"/>
            <w:bottom w:w="0" w:type="dxa"/>
            <w:right w:w="0" w:type="dxa"/>
          </w:tblCellMar>
        </w:tblPrEx>
        <w:trPr>
          <w:trHeight w:val="584"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氯氮平口腔崩解片</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25mg</w:t>
            </w:r>
          </w:p>
        </w:tc>
      </w:tr>
      <w:tr>
        <w:tblPrEx>
          <w:shd w:val="clear" w:color="auto" w:fill="auto"/>
          <w:tblCellMar>
            <w:top w:w="0" w:type="dxa"/>
            <w:left w:w="0" w:type="dxa"/>
            <w:bottom w:w="0" w:type="dxa"/>
            <w:right w:w="0" w:type="dxa"/>
          </w:tblCellMar>
        </w:tblPrEx>
        <w:trPr>
          <w:trHeight w:val="569"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33</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奥氮平口服常释剂型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5mg</w:t>
            </w:r>
          </w:p>
        </w:tc>
      </w:tr>
      <w:tr>
        <w:tblPrEx>
          <w:tblCellMar>
            <w:top w:w="0" w:type="dxa"/>
            <w:left w:w="0" w:type="dxa"/>
            <w:bottom w:w="0" w:type="dxa"/>
            <w:right w:w="0" w:type="dxa"/>
          </w:tblCellMar>
        </w:tblPrEx>
        <w:trPr>
          <w:trHeight w:val="584"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奥氮平膜剂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5mg</w:t>
            </w:r>
          </w:p>
        </w:tc>
      </w:tr>
      <w:tr>
        <w:tblPrEx>
          <w:tblCellMar>
            <w:top w:w="0" w:type="dxa"/>
            <w:left w:w="0" w:type="dxa"/>
            <w:bottom w:w="0" w:type="dxa"/>
            <w:right w:w="0" w:type="dxa"/>
          </w:tblCellMar>
        </w:tblPrEx>
        <w:trPr>
          <w:trHeight w:val="629"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18"/>
                <w:szCs w:val="18"/>
                <w:u w:val="none"/>
                <w:lang w:val="en-US" w:eastAsia="zh-CN" w:bidi="zh-CN"/>
              </w:rPr>
            </w:pPr>
            <w:r>
              <w:rPr>
                <w:rFonts w:hint="eastAsia" w:ascii="华文宋体" w:hAnsi="华文宋体" w:eastAsia="华文宋体" w:cs="华文宋体"/>
                <w:b/>
                <w:i w:val="0"/>
                <w:color w:val="000000"/>
                <w:kern w:val="0"/>
                <w:sz w:val="18"/>
                <w:szCs w:val="18"/>
                <w:u w:val="none"/>
                <w:lang w:val="en-US" w:eastAsia="zh-CN" w:bidi="ar"/>
              </w:rPr>
              <w:t>品种序号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18"/>
                <w:szCs w:val="18"/>
                <w:u w:val="none"/>
                <w:lang w:val="en-US" w:eastAsia="zh-CN" w:bidi="zh-CN"/>
              </w:rPr>
            </w:pPr>
            <w:r>
              <w:rPr>
                <w:rFonts w:hint="eastAsia" w:ascii="华文宋体" w:hAnsi="华文宋体" w:eastAsia="华文宋体" w:cs="华文宋体"/>
                <w:b/>
                <w:i w:val="0"/>
                <w:color w:val="000000"/>
                <w:kern w:val="0"/>
                <w:sz w:val="18"/>
                <w:szCs w:val="18"/>
                <w:u w:val="none"/>
                <w:lang w:val="en-US" w:eastAsia="zh-CN" w:bidi="ar"/>
              </w:rPr>
              <w:t>类别</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18"/>
                <w:szCs w:val="18"/>
                <w:u w:val="none"/>
                <w:lang w:val="en-US" w:eastAsia="zh-CN" w:bidi="zh-CN"/>
              </w:rPr>
            </w:pPr>
            <w:r>
              <w:rPr>
                <w:rFonts w:hint="eastAsia" w:ascii="华文宋体" w:hAnsi="华文宋体" w:eastAsia="华文宋体" w:cs="华文宋体"/>
                <w:b/>
                <w:i w:val="0"/>
                <w:color w:val="000000"/>
                <w:kern w:val="0"/>
                <w:sz w:val="18"/>
                <w:szCs w:val="18"/>
                <w:u w:val="none"/>
                <w:lang w:val="en-US" w:eastAsia="zh-CN" w:bidi="ar"/>
              </w:rPr>
              <w:t>备注</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b/>
                <w:i w:val="0"/>
                <w:color w:val="000000"/>
                <w:sz w:val="18"/>
                <w:szCs w:val="18"/>
                <w:u w:val="none"/>
                <w:lang w:val="en-US" w:eastAsia="zh-CN" w:bidi="zh-CN"/>
              </w:rPr>
            </w:pPr>
            <w:r>
              <w:rPr>
                <w:rFonts w:hint="eastAsia" w:ascii="华文宋体" w:hAnsi="华文宋体" w:eastAsia="华文宋体" w:cs="华文宋体"/>
                <w:b/>
                <w:i w:val="0"/>
                <w:color w:val="000000"/>
                <w:kern w:val="0"/>
                <w:sz w:val="18"/>
                <w:szCs w:val="18"/>
                <w:u w:val="none"/>
                <w:lang w:val="en-US" w:eastAsia="zh-CN" w:bidi="ar"/>
              </w:rPr>
              <w:t>品种名称</w:t>
            </w:r>
          </w:p>
        </w:tc>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kern w:val="0"/>
                <w:sz w:val="18"/>
                <w:szCs w:val="18"/>
                <w:u w:val="none"/>
                <w:lang w:val="en-US" w:eastAsia="zh-CN" w:bidi="ar"/>
              </w:rPr>
            </w:pPr>
            <w:r>
              <w:rPr>
                <w:rFonts w:hint="eastAsia" w:ascii="华文宋体" w:hAnsi="华文宋体" w:eastAsia="华文宋体" w:cs="华文宋体"/>
                <w:b/>
                <w:i w:val="0"/>
                <w:color w:val="000000"/>
                <w:kern w:val="0"/>
                <w:sz w:val="18"/>
                <w:szCs w:val="18"/>
                <w:u w:val="none"/>
                <w:lang w:val="en-US" w:eastAsia="zh-CN" w:bidi="ar"/>
              </w:rPr>
              <w:t>统一代表剂型及品规                                         （简称统一代表品规）</w:t>
            </w:r>
          </w:p>
        </w:tc>
      </w:tr>
      <w:tr>
        <w:tblPrEx>
          <w:tblCellMar>
            <w:top w:w="0" w:type="dxa"/>
            <w:left w:w="0" w:type="dxa"/>
            <w:bottom w:w="0" w:type="dxa"/>
            <w:right w:w="0" w:type="dxa"/>
          </w:tblCellMar>
        </w:tblPrEx>
        <w:trPr>
          <w:trHeight w:val="402" w:hRule="atLeast"/>
        </w:trPr>
        <w:tc>
          <w:tcPr>
            <w:tcW w:w="811"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34</w:t>
            </w:r>
          </w:p>
        </w:tc>
        <w:tc>
          <w:tcPr>
            <w:tcW w:w="70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利培酮口服常释剂型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1mg</w:t>
            </w:r>
          </w:p>
        </w:tc>
      </w:tr>
      <w:tr>
        <w:tblPrEx>
          <w:shd w:val="clear" w:color="auto" w:fill="auto"/>
          <w:tblCellMar>
            <w:top w:w="0" w:type="dxa"/>
            <w:left w:w="0" w:type="dxa"/>
            <w:bottom w:w="0" w:type="dxa"/>
            <w:right w:w="0" w:type="dxa"/>
          </w:tblCellMar>
        </w:tblPrEx>
        <w:trPr>
          <w:trHeight w:val="402" w:hRule="atLeast"/>
        </w:trPr>
        <w:tc>
          <w:tcPr>
            <w:tcW w:w="81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华文宋体" w:hAnsi="华文宋体" w:eastAsia="华文宋体" w:cs="华文宋体"/>
                <w:i w:val="0"/>
                <w:color w:val="000000"/>
                <w:sz w:val="18"/>
                <w:szCs w:val="18"/>
                <w:u w:val="none"/>
                <w:lang w:val="en-US" w:eastAsia="zh-CN"/>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利培酮口腔崩解片</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1mg</w:t>
            </w:r>
          </w:p>
        </w:tc>
      </w:tr>
      <w:tr>
        <w:tblPrEx>
          <w:tblCellMar>
            <w:top w:w="0" w:type="dxa"/>
            <w:left w:w="0" w:type="dxa"/>
            <w:bottom w:w="0" w:type="dxa"/>
            <w:right w:w="0" w:type="dxa"/>
          </w:tblCellMar>
        </w:tblPrEx>
        <w:trPr>
          <w:trHeight w:val="402" w:hRule="atLeast"/>
        </w:trPr>
        <w:tc>
          <w:tcPr>
            <w:tcW w:w="81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利培酮口腔崩解片</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1mg</w:t>
            </w:r>
          </w:p>
        </w:tc>
      </w:tr>
      <w:tr>
        <w:tblPrEx>
          <w:tblCellMar>
            <w:top w:w="0" w:type="dxa"/>
            <w:left w:w="0" w:type="dxa"/>
            <w:bottom w:w="0" w:type="dxa"/>
            <w:right w:w="0" w:type="dxa"/>
          </w:tblCellMar>
        </w:tblPrEx>
        <w:trPr>
          <w:trHeight w:val="402" w:hRule="atLeast"/>
        </w:trPr>
        <w:tc>
          <w:tcPr>
            <w:tcW w:w="81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利培酮口服液体剂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1mg</w:t>
            </w:r>
          </w:p>
        </w:tc>
      </w:tr>
      <w:tr>
        <w:tblPrEx>
          <w:shd w:val="clear" w:color="auto" w:fill="auto"/>
          <w:tblCellMar>
            <w:top w:w="0" w:type="dxa"/>
            <w:left w:w="0" w:type="dxa"/>
            <w:bottom w:w="0" w:type="dxa"/>
            <w:right w:w="0" w:type="dxa"/>
          </w:tblCellMar>
        </w:tblPrEx>
        <w:trPr>
          <w:trHeight w:val="402" w:hRule="atLeast"/>
        </w:trPr>
        <w:tc>
          <w:tcPr>
            <w:tcW w:w="81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4类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利培酮口服液体剂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1mg</w:t>
            </w:r>
          </w:p>
        </w:tc>
      </w:tr>
      <w:tr>
        <w:tblPrEx>
          <w:shd w:val="clear" w:color="auto" w:fill="auto"/>
          <w:tblCellMar>
            <w:top w:w="0" w:type="dxa"/>
            <w:left w:w="0" w:type="dxa"/>
            <w:bottom w:w="0" w:type="dxa"/>
            <w:right w:w="0" w:type="dxa"/>
          </w:tblCellMar>
        </w:tblPrEx>
        <w:trPr>
          <w:trHeight w:val="442" w:hRule="atLeast"/>
        </w:trPr>
        <w:tc>
          <w:tcPr>
            <w:tcW w:w="81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 xml:space="preserve">过评      </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利培酮注射剂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注射剂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25mg</w:t>
            </w:r>
          </w:p>
        </w:tc>
      </w:tr>
      <w:tr>
        <w:tblPrEx>
          <w:shd w:val="clear" w:color="auto" w:fill="auto"/>
          <w:tblCellMar>
            <w:top w:w="0" w:type="dxa"/>
            <w:left w:w="0" w:type="dxa"/>
            <w:bottom w:w="0" w:type="dxa"/>
            <w:right w:w="0" w:type="dxa"/>
          </w:tblCellMar>
        </w:tblPrEx>
        <w:trPr>
          <w:trHeight w:val="432" w:hRule="atLeast"/>
        </w:trPr>
        <w:tc>
          <w:tcPr>
            <w:tcW w:w="811"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18"/>
                <w:szCs w:val="18"/>
                <w:u w:val="none"/>
                <w:lang w:val="en-US" w:eastAsia="zh-CN" w:bidi="ar"/>
              </w:rPr>
            </w:pPr>
            <w:r>
              <w:rPr>
                <w:rFonts w:hint="eastAsia" w:ascii="华文宋体" w:hAnsi="华文宋体" w:eastAsia="华文宋体" w:cs="华文宋体"/>
                <w:i w:val="0"/>
                <w:color w:val="000000"/>
                <w:kern w:val="0"/>
                <w:sz w:val="18"/>
                <w:szCs w:val="18"/>
                <w:u w:val="none"/>
                <w:lang w:val="en-US" w:eastAsia="zh-CN" w:bidi="ar"/>
              </w:rPr>
              <w:t>6类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kern w:val="0"/>
                <w:sz w:val="18"/>
                <w:szCs w:val="18"/>
                <w:u w:val="none"/>
                <w:lang w:val="en-US" w:eastAsia="zh-CN" w:bidi="ar"/>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lang w:val="en-US" w:eastAsia="zh-CN" w:bidi="zh-CN"/>
              </w:rPr>
            </w:pPr>
            <w:r>
              <w:rPr>
                <w:rFonts w:hint="eastAsia" w:ascii="华文宋体" w:hAnsi="华文宋体" w:eastAsia="华文宋体" w:cs="华文宋体"/>
                <w:i w:val="0"/>
                <w:color w:val="000000"/>
                <w:kern w:val="0"/>
                <w:sz w:val="18"/>
                <w:szCs w:val="18"/>
                <w:u w:val="none"/>
                <w:lang w:val="en-US" w:eastAsia="zh-CN" w:bidi="ar"/>
              </w:rPr>
              <w:t>利培酮注射剂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lang w:val="en-US" w:eastAsia="zh-CN" w:bidi="zh-CN"/>
              </w:rPr>
            </w:pPr>
            <w:r>
              <w:rPr>
                <w:rFonts w:hint="eastAsia" w:ascii="华文宋体" w:hAnsi="华文宋体" w:eastAsia="华文宋体" w:cs="华文宋体"/>
                <w:i w:val="0"/>
                <w:color w:val="000000"/>
                <w:kern w:val="0"/>
                <w:sz w:val="18"/>
                <w:szCs w:val="18"/>
                <w:u w:val="none"/>
                <w:lang w:val="en-US" w:eastAsia="zh-CN" w:bidi="ar"/>
              </w:rPr>
              <w:t>注射剂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lang w:val="en-US" w:eastAsia="zh-CN" w:bidi="zh-CN"/>
              </w:rPr>
            </w:pPr>
            <w:r>
              <w:rPr>
                <w:rFonts w:hint="eastAsia" w:ascii="华文宋体" w:hAnsi="华文宋体" w:eastAsia="华文宋体" w:cs="华文宋体"/>
                <w:i w:val="0"/>
                <w:color w:val="000000"/>
                <w:kern w:val="0"/>
                <w:sz w:val="18"/>
                <w:szCs w:val="18"/>
                <w:u w:val="none"/>
                <w:lang w:val="en-US" w:eastAsia="zh-CN" w:bidi="ar"/>
              </w:rPr>
              <w:t>25mg</w:t>
            </w:r>
          </w:p>
        </w:tc>
      </w:tr>
      <w:tr>
        <w:tblPrEx>
          <w:shd w:val="clear" w:color="auto" w:fill="auto"/>
          <w:tblCellMar>
            <w:top w:w="0" w:type="dxa"/>
            <w:left w:w="0" w:type="dxa"/>
            <w:bottom w:w="0" w:type="dxa"/>
            <w:right w:w="0" w:type="dxa"/>
          </w:tblCellMar>
        </w:tblPrEx>
        <w:trPr>
          <w:trHeight w:val="449"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35</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右佐匹克隆口服常释剂型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3mg</w:t>
            </w:r>
          </w:p>
        </w:tc>
      </w:tr>
      <w:tr>
        <w:tblPrEx>
          <w:shd w:val="clear" w:color="auto" w:fill="auto"/>
          <w:tblCellMar>
            <w:top w:w="0" w:type="dxa"/>
            <w:left w:w="0" w:type="dxa"/>
            <w:bottom w:w="0" w:type="dxa"/>
            <w:right w:w="0" w:type="dxa"/>
          </w:tblCellMar>
        </w:tblPrEx>
        <w:trPr>
          <w:trHeight w:val="434"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36</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右美托咪定注射剂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注射剂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2ml:0.2mg（200μg）</w:t>
            </w:r>
          </w:p>
        </w:tc>
      </w:tr>
      <w:tr>
        <w:tblPrEx>
          <w:tblCellMar>
            <w:top w:w="0" w:type="dxa"/>
            <w:left w:w="0" w:type="dxa"/>
            <w:bottom w:w="0" w:type="dxa"/>
            <w:right w:w="0" w:type="dxa"/>
          </w:tblCellMar>
        </w:tblPrEx>
        <w:trPr>
          <w:trHeight w:val="449"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37</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帕罗西汀口服常释剂型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20mg</w:t>
            </w:r>
          </w:p>
        </w:tc>
      </w:tr>
      <w:tr>
        <w:tblPrEx>
          <w:tblCellMar>
            <w:top w:w="0" w:type="dxa"/>
            <w:left w:w="0" w:type="dxa"/>
            <w:bottom w:w="0" w:type="dxa"/>
            <w:right w:w="0" w:type="dxa"/>
          </w:tblCellMar>
        </w:tblPrEx>
        <w:trPr>
          <w:trHeight w:val="479"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38</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艾司西酞普兰口服常释剂型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10mg</w:t>
            </w:r>
          </w:p>
        </w:tc>
      </w:tr>
      <w:tr>
        <w:tblPrEx>
          <w:tblCellMar>
            <w:top w:w="0" w:type="dxa"/>
            <w:left w:w="0" w:type="dxa"/>
            <w:bottom w:w="0" w:type="dxa"/>
            <w:right w:w="0" w:type="dxa"/>
          </w:tblCellMar>
        </w:tblPrEx>
        <w:trPr>
          <w:trHeight w:val="402"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39</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氟西汀口服常释剂型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20mg</w:t>
            </w:r>
          </w:p>
        </w:tc>
      </w:tr>
      <w:tr>
        <w:tblPrEx>
          <w:shd w:val="clear" w:color="auto" w:fill="auto"/>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氟西汀口服常释剂型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20mg</w:t>
            </w:r>
          </w:p>
        </w:tc>
      </w:tr>
      <w:tr>
        <w:tblPrEx>
          <w:tblCellMar>
            <w:top w:w="0" w:type="dxa"/>
            <w:left w:w="0" w:type="dxa"/>
            <w:bottom w:w="0" w:type="dxa"/>
            <w:right w:w="0" w:type="dxa"/>
          </w:tblCellMar>
        </w:tblPrEx>
        <w:trPr>
          <w:trHeight w:val="402"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40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舍曲林口服常释剂型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50mg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舍曲林口服常释剂型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50mg</w:t>
            </w:r>
          </w:p>
        </w:tc>
      </w:tr>
      <w:tr>
        <w:tblPrEx>
          <w:tblCellMar>
            <w:top w:w="0" w:type="dxa"/>
            <w:left w:w="0" w:type="dxa"/>
            <w:bottom w:w="0" w:type="dxa"/>
            <w:right w:w="0" w:type="dxa"/>
          </w:tblCellMar>
        </w:tblPrEx>
        <w:trPr>
          <w:trHeight w:val="402"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41</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西酞普兰口服常释剂型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20mg</w:t>
            </w:r>
          </w:p>
        </w:tc>
      </w:tr>
      <w:tr>
        <w:tblPrEx>
          <w:shd w:val="clear" w:color="auto" w:fill="auto"/>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西酞普兰口服常释剂型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20mg</w:t>
            </w:r>
          </w:p>
        </w:tc>
      </w:tr>
      <w:tr>
        <w:tblPrEx>
          <w:shd w:val="clear" w:color="auto" w:fill="auto"/>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西酞普兰口服液体剂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20mg</w:t>
            </w:r>
          </w:p>
        </w:tc>
      </w:tr>
      <w:tr>
        <w:tblPrEx>
          <w:shd w:val="clear" w:color="auto" w:fill="auto"/>
          <w:tblCellMar>
            <w:top w:w="0" w:type="dxa"/>
            <w:left w:w="0" w:type="dxa"/>
            <w:bottom w:w="0" w:type="dxa"/>
            <w:right w:w="0" w:type="dxa"/>
          </w:tblCellMar>
        </w:tblPrEx>
        <w:trPr>
          <w:trHeight w:val="402"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42</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地氯雷他定口服常释剂型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5mg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地氯雷他定口服常释剂型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5mg</w:t>
            </w:r>
          </w:p>
        </w:tc>
      </w:tr>
      <w:tr>
        <w:tblPrEx>
          <w:tblCellMar>
            <w:top w:w="0" w:type="dxa"/>
            <w:left w:w="0" w:type="dxa"/>
            <w:bottom w:w="0" w:type="dxa"/>
            <w:right w:w="0" w:type="dxa"/>
          </w:tblCellMar>
        </w:tblPrEx>
        <w:trPr>
          <w:trHeight w:val="402"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华文宋体" w:hAnsi="华文宋体" w:eastAsia="华文宋体" w:cs="华文宋体"/>
                <w:i w:val="0"/>
                <w:color w:val="000000"/>
                <w:sz w:val="18"/>
                <w:szCs w:val="18"/>
                <w:u w:val="none"/>
                <w:lang w:val="en-US" w:eastAsia="zh-CN"/>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地氯雷他定口服液体剂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5mg</w:t>
            </w:r>
          </w:p>
        </w:tc>
      </w:tr>
      <w:tr>
        <w:tblPrEx>
          <w:tblCellMar>
            <w:top w:w="0" w:type="dxa"/>
            <w:left w:w="0" w:type="dxa"/>
            <w:bottom w:w="0" w:type="dxa"/>
            <w:right w:w="0" w:type="dxa"/>
          </w:tblCellMar>
        </w:tblPrEx>
        <w:trPr>
          <w:trHeight w:val="464" w:hRule="atLeast"/>
        </w:trPr>
        <w:tc>
          <w:tcPr>
            <w:tcW w:w="811"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43</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孟鲁司特口服常释剂型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10mg</w:t>
            </w:r>
          </w:p>
        </w:tc>
      </w:tr>
      <w:tr>
        <w:tblPrEx>
          <w:shd w:val="clear" w:color="auto" w:fill="auto"/>
          <w:tblCellMar>
            <w:top w:w="0" w:type="dxa"/>
            <w:left w:w="0" w:type="dxa"/>
            <w:bottom w:w="0" w:type="dxa"/>
            <w:right w:w="0" w:type="dxa"/>
          </w:tblCellMar>
        </w:tblPrEx>
        <w:trPr>
          <w:trHeight w:val="524" w:hRule="atLeast"/>
        </w:trPr>
        <w:tc>
          <w:tcPr>
            <w:tcW w:w="811"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2类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非过评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孟鲁司特膜剂</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膜剂</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4mg</w:t>
            </w:r>
          </w:p>
        </w:tc>
      </w:tr>
      <w:tr>
        <w:tblPrEx>
          <w:tblCellMar>
            <w:top w:w="0" w:type="dxa"/>
            <w:left w:w="0" w:type="dxa"/>
            <w:bottom w:w="0" w:type="dxa"/>
            <w:right w:w="0" w:type="dxa"/>
          </w:tblCellMar>
        </w:tblPrEx>
        <w:trPr>
          <w:trHeight w:val="494"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华文宋体" w:hAnsi="华文宋体" w:eastAsia="华文宋体" w:cs="华文宋体"/>
                <w:i w:val="0"/>
                <w:color w:val="000000"/>
                <w:sz w:val="18"/>
                <w:szCs w:val="18"/>
                <w:u w:val="none"/>
                <w:lang w:val="en-US"/>
              </w:rPr>
            </w:pPr>
            <w:r>
              <w:rPr>
                <w:rFonts w:hint="eastAsia" w:ascii="华文宋体" w:hAnsi="华文宋体" w:eastAsia="华文宋体" w:cs="华文宋体"/>
                <w:i w:val="0"/>
                <w:color w:val="000000"/>
                <w:kern w:val="0"/>
                <w:sz w:val="18"/>
                <w:szCs w:val="18"/>
                <w:u w:val="none"/>
                <w:lang w:val="en-US" w:eastAsia="zh-CN" w:bidi="ar"/>
              </w:rPr>
              <w:t>44</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达泊西汀口服常释剂型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30mg</w:t>
            </w:r>
          </w:p>
        </w:tc>
      </w:tr>
      <w:tr>
        <w:tblPrEx>
          <w:tblCellMar>
            <w:top w:w="0" w:type="dxa"/>
            <w:left w:w="0" w:type="dxa"/>
            <w:bottom w:w="0" w:type="dxa"/>
            <w:right w:w="0" w:type="dxa"/>
          </w:tblCellMar>
        </w:tblPrEx>
        <w:trPr>
          <w:trHeight w:val="496"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华文宋体" w:hAnsi="华文宋体" w:eastAsia="华文宋体" w:cs="华文宋体"/>
                <w:i w:val="0"/>
                <w:color w:val="000000"/>
                <w:sz w:val="18"/>
                <w:szCs w:val="18"/>
                <w:u w:val="none"/>
                <w:lang w:val="en-US"/>
              </w:rPr>
            </w:pPr>
            <w:r>
              <w:rPr>
                <w:rFonts w:hint="eastAsia" w:ascii="华文宋体" w:hAnsi="华文宋体" w:eastAsia="华文宋体" w:cs="华文宋体"/>
                <w:i w:val="0"/>
                <w:color w:val="000000"/>
                <w:kern w:val="0"/>
                <w:sz w:val="18"/>
                <w:szCs w:val="18"/>
                <w:u w:val="none"/>
                <w:lang w:val="en-US" w:eastAsia="zh-CN" w:bidi="ar"/>
              </w:rPr>
              <w:t>45</w:t>
            </w:r>
          </w:p>
        </w:tc>
        <w:tc>
          <w:tcPr>
            <w:tcW w:w="70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1类</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西地那非口服常释剂型</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50mg</w:t>
            </w:r>
          </w:p>
        </w:tc>
      </w:tr>
      <w:tr>
        <w:tblPrEx>
          <w:tblCellMar>
            <w:top w:w="0" w:type="dxa"/>
            <w:left w:w="0" w:type="dxa"/>
            <w:bottom w:w="0" w:type="dxa"/>
            <w:right w:w="0" w:type="dxa"/>
          </w:tblCellMar>
        </w:tblPrEx>
        <w:trPr>
          <w:trHeight w:val="519"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华文宋体" w:hAnsi="华文宋体" w:eastAsia="华文宋体" w:cs="华文宋体"/>
                <w:i w:val="0"/>
                <w:color w:val="000000"/>
                <w:sz w:val="18"/>
                <w:szCs w:val="18"/>
                <w:u w:val="none"/>
              </w:rPr>
            </w:pPr>
          </w:p>
        </w:tc>
        <w:tc>
          <w:tcPr>
            <w:tcW w:w="70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华文宋体" w:hAnsi="华文宋体" w:eastAsia="华文宋体" w:cs="华文宋体"/>
                <w:i w:val="0"/>
                <w:color w:val="000000"/>
                <w:sz w:val="18"/>
                <w:szCs w:val="18"/>
                <w:u w:val="none"/>
                <w:lang w:val="en-US" w:eastAsia="zh-CN"/>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过评</w:t>
            </w:r>
          </w:p>
        </w:tc>
        <w:tc>
          <w:tcPr>
            <w:tcW w:w="29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西地那非口崩片</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口服常释剂型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华文宋体" w:hAnsi="华文宋体" w:eastAsia="华文宋体" w:cs="华文宋体"/>
                <w:i w:val="0"/>
                <w:color w:val="000000"/>
                <w:sz w:val="18"/>
                <w:szCs w:val="18"/>
                <w:u w:val="none"/>
              </w:rPr>
            </w:pPr>
            <w:r>
              <w:rPr>
                <w:rFonts w:hint="eastAsia" w:ascii="华文宋体" w:hAnsi="华文宋体" w:eastAsia="华文宋体" w:cs="华文宋体"/>
                <w:i w:val="0"/>
                <w:color w:val="000000"/>
                <w:kern w:val="0"/>
                <w:sz w:val="18"/>
                <w:szCs w:val="18"/>
                <w:u w:val="none"/>
                <w:lang w:val="en-US" w:eastAsia="zh-CN" w:bidi="ar"/>
              </w:rPr>
              <w:t>50mg</w:t>
            </w:r>
          </w:p>
        </w:tc>
      </w:tr>
    </w:tbl>
    <w:p>
      <w:pPr>
        <w:pStyle w:val="2"/>
        <w:rPr>
          <w:rFonts w:hint="eastAsia" w:asciiTheme="majorEastAsia" w:hAnsiTheme="majorEastAsia" w:eastAsiaTheme="majorEastAsia" w:cstheme="majorEastAsia"/>
          <w:color w:val="000000" w:themeColor="text1"/>
          <w:kern w:val="2"/>
          <w:sz w:val="21"/>
          <w:szCs w:val="21"/>
          <w:lang w:val="en-US" w:eastAsia="zh-CN"/>
          <w14:textFill>
            <w14:solidFill>
              <w14:schemeClr w14:val="tx1"/>
            </w14:solidFill>
          </w14:textFill>
        </w:rPr>
      </w:pPr>
    </w:p>
    <w:p>
      <w:pPr>
        <w:pStyle w:val="2"/>
        <w:ind w:firstLine="420" w:firstLineChars="200"/>
        <w:rPr>
          <w:rFonts w:hint="eastAsia" w:asciiTheme="majorEastAsia" w:hAnsiTheme="majorEastAsia" w:eastAsiaTheme="majorEastAsia" w:cstheme="majorEastAsia"/>
          <w:color w:val="000000" w:themeColor="text1"/>
          <w:kern w:val="2"/>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lang w:val="en-US" w:eastAsia="zh-CN"/>
          <w14:textFill>
            <w14:solidFill>
              <w14:schemeClr w14:val="tx1"/>
            </w14:solidFill>
          </w14:textFill>
        </w:rPr>
        <w:t>备注：</w:t>
      </w:r>
      <w:r>
        <w:rPr>
          <w:rFonts w:hint="eastAsia" w:asciiTheme="majorEastAsia" w:hAnsiTheme="majorEastAsia" w:eastAsiaTheme="majorEastAsia" w:cstheme="majorEastAsia"/>
          <w:sz w:val="21"/>
          <w:szCs w:val="21"/>
        </w:rPr>
        <w:t>注射剂型包括注射剂、氯化钠注射液、葡萄糖注射液</w:t>
      </w:r>
      <w:r>
        <w:rPr>
          <w:rFonts w:hint="eastAsia" w:asciiTheme="majorEastAsia" w:hAnsiTheme="majorEastAsia" w:eastAsiaTheme="majorEastAsia" w:cstheme="majorEastAsia"/>
          <w:sz w:val="21"/>
          <w:szCs w:val="21"/>
          <w:lang w:eastAsia="zh-CN"/>
        </w:rPr>
        <w:t>。</w:t>
      </w:r>
    </w:p>
    <w:sectPr>
      <w:pgSz w:w="11910" w:h="16840"/>
      <w:pgMar w:top="1580" w:right="1040" w:bottom="1220" w:left="1300" w:header="1145" w:footer="1035"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w:rPr>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9895205</wp:posOffset>
              </wp:positionV>
              <wp:extent cx="401955"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40195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- 19 -</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top:779.15pt;height:11pt;width:31.65pt;mso-position-horizontal:center;mso-position-horizontal-relative:margin;mso-position-vertical-relative:page;z-index:251661312;mso-width-relative:page;mso-height-relative:page;" filled="f" stroked="f" coordsize="21600,21600" o:gfxdata="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b/usNcAAAAJAQAADwAAAAAAAAABACAAAAAiAAAAZHJzL2Rvd25yZXYu&#10;eG1sUEsBAhQAFAAAAAgAh07iQOfVOR/8AQAAAwQAAA4AAAAAAAAAAQAgAAAAJgEAAGRycy9lMm9E&#10;b2MueG1sUEsFBgAAAAAGAAYAWQEAAJQ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- 19 -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959485</wp:posOffset>
              </wp:positionH>
              <wp:positionV relativeFrom="page">
                <wp:posOffset>714375</wp:posOffset>
              </wp:positionV>
              <wp:extent cx="2766695" cy="152400"/>
              <wp:effectExtent l="0"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66695" cy="152400"/>
                      </a:xfrm>
                      <a:prstGeom prst="rect">
                        <a:avLst/>
                      </a:prstGeom>
                      <a:noFill/>
                      <a:ln>
                        <a:noFill/>
                      </a:ln>
                    </wps:spPr>
                    <wps:txbx>
                      <w:txbxContent>
                        <w:p>
                          <w:pPr>
                            <w:spacing w:line="220" w:lineRule="exact"/>
                            <w:ind w:left="20"/>
                            <w:rPr>
                              <w:sz w:val="15"/>
                              <w:szCs w:val="15"/>
                            </w:rPr>
                          </w:pPr>
                          <w:r>
                            <w:rPr>
                              <w:rFonts w:hint="eastAsia" w:ascii="Times New Roman" w:hAnsi="Times New Roman" w:cs="Times New Roman"/>
                              <w:color w:val="000000" w:themeColor="text1"/>
                              <w:sz w:val="15"/>
                              <w:szCs w:val="15"/>
                              <w:lang w:val="en-US"/>
                              <w14:textFill>
                                <w14:solidFill>
                                  <w14:schemeClr w14:val="tx1"/>
                                </w14:solidFill>
                              </w14:textFill>
                            </w:rPr>
                            <w:t>阿莫西林等45个</w:t>
                          </w:r>
                          <w:r>
                            <w:rPr>
                              <w:rFonts w:ascii="Times New Roman" w:hAnsi="Times New Roman" w:cs="Times New Roman"/>
                              <w:color w:val="000000" w:themeColor="text1"/>
                              <w:sz w:val="15"/>
                              <w:szCs w:val="15"/>
                              <w:lang w:val="en-US"/>
                              <w14:textFill>
                                <w14:solidFill>
                                  <w14:schemeClr w14:val="tx1"/>
                                </w14:solidFill>
                              </w14:textFill>
                            </w:rPr>
                            <w:t>药品</w:t>
                          </w:r>
                          <w:r>
                            <w:rPr>
                              <w:rFonts w:hint="eastAsia"/>
                              <w:sz w:val="15"/>
                              <w:szCs w:val="15"/>
                              <w:lang w:val="en-US"/>
                            </w:rPr>
                            <w:t>联盟地区集团带量采购文件</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75.55pt;margin-top:56.25pt;height:12pt;width:217.85pt;mso-position-horizontal-relative:page;mso-position-vertical-relative:page;z-index:-251656192;mso-width-relative:page;mso-height-relative:page;" filled="f" stroked="f" coordsize="21600,21600" o:gfxdata="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235z9gAAAALAQAADwAAAAAAAAABACAAAAAiAAAAZHJzL2Rvd25y&#10;ZXYueG1sUEsBAhQAFAAAAAgAh07iQHV/Vor+AQAABAQAAA4AAAAAAAAAAQAgAAAAJwEAAGRycy9l&#10;Mm9Eb2MueG1sUEsFBgAAAAAGAAYAWQEAAJcFAAAAAA==&#10;">
              <v:fill on="f" focussize="0,0"/>
              <v:stroke on="f"/>
              <v:imagedata o:title=""/>
              <o:lock v:ext="edit" aspectratio="f"/>
              <v:textbox inset="0mm,0mm,0mm,0mm">
                <w:txbxContent>
                  <w:p>
                    <w:pPr>
                      <w:spacing w:line="220" w:lineRule="exact"/>
                      <w:ind w:left="20"/>
                      <w:rPr>
                        <w:sz w:val="15"/>
                        <w:szCs w:val="15"/>
                      </w:rPr>
                    </w:pPr>
                    <w:r>
                      <w:rPr>
                        <w:rFonts w:hint="eastAsia" w:ascii="Times New Roman" w:hAnsi="Times New Roman" w:cs="Times New Roman"/>
                        <w:color w:val="000000" w:themeColor="text1"/>
                        <w:sz w:val="15"/>
                        <w:szCs w:val="15"/>
                        <w:lang w:val="en-US"/>
                        <w14:textFill>
                          <w14:solidFill>
                            <w14:schemeClr w14:val="tx1"/>
                          </w14:solidFill>
                        </w14:textFill>
                      </w:rPr>
                      <w:t>阿莫西林等45个</w:t>
                    </w:r>
                    <w:r>
                      <w:rPr>
                        <w:rFonts w:ascii="Times New Roman" w:hAnsi="Times New Roman" w:cs="Times New Roman"/>
                        <w:color w:val="000000" w:themeColor="text1"/>
                        <w:sz w:val="15"/>
                        <w:szCs w:val="15"/>
                        <w:lang w:val="en-US"/>
                        <w14:textFill>
                          <w14:solidFill>
                            <w14:schemeClr w14:val="tx1"/>
                          </w14:solidFill>
                        </w14:textFill>
                      </w:rPr>
                      <w:t>药品</w:t>
                    </w:r>
                    <w:r>
                      <w:rPr>
                        <w:rFonts w:hint="eastAsia"/>
                        <w:sz w:val="15"/>
                        <w:szCs w:val="15"/>
                        <w:lang w:val="en-US"/>
                      </w:rPr>
                      <w:t>联盟地区集团带量采购文件</w:t>
                    </w:r>
                  </w:p>
                </w:txbxContent>
              </v:textbox>
            </v:shape>
          </w:pict>
        </mc:Fallback>
      </mc:AlternateContent>
    </w:r>
    <w:r>
      <w:rPr>
        <w:lang w:val="en-US" w:bidi="ar-SA"/>
      </w:rPr>
      <mc:AlternateContent>
        <mc:Choice Requires="wps">
          <w:drawing>
            <wp:anchor distT="0" distB="0" distL="114300" distR="114300" simplePos="0" relativeHeight="251659264" behindDoc="1" locked="0" layoutInCell="1" allowOverlap="1">
              <wp:simplePos x="0" y="0"/>
              <wp:positionH relativeFrom="page">
                <wp:posOffset>972185</wp:posOffset>
              </wp:positionH>
              <wp:positionV relativeFrom="page">
                <wp:posOffset>912495</wp:posOffset>
              </wp:positionV>
              <wp:extent cx="5615940" cy="0"/>
              <wp:effectExtent l="0" t="0" r="0" b="0"/>
              <wp:wrapNone/>
              <wp:docPr id="2" name="Line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144">
                        <a:solidFill>
                          <a:srgbClr val="000000"/>
                        </a:solidFill>
                        <a:prstDash val="solid"/>
                        <a:round/>
                      </a:ln>
                    </wps:spPr>
                    <wps:bodyPr/>
                  </wps:wsp>
                </a:graphicData>
              </a:graphic>
            </wp:anchor>
          </w:drawing>
        </mc:Choice>
        <mc:Fallback>
          <w:pict>
            <v:line id="Line 3" o:spid="_x0000_s1026" o:spt="20" style="position:absolute;left:0pt;margin-left:76.55pt;margin-top:71.85pt;height:0pt;width:442.2pt;mso-position-horizontal-relative:page;mso-position-vertical-relative:page;z-index:-251657216;mso-width-relative:page;mso-height-relative:page;" filled="f" stroked="t" coordsize="21600,21600" o:gfxdata="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agHpr1wAAAAwBAAAPAAAAAAAAAAEAIAAA&#10;ACIAAABkcnMvZG93bnJldi54bWxQSwECFAAUAAAACACHTuJAkFiqMNQBAAC4AwAADgAAAAAAAAAB&#10;ACAAAAAmAQAAZHJzL2Uyb0RvYy54bWxQSwUGAAAAAAYABgBZAQAAbAUAAA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F5C1D4"/>
    <w:multiLevelType w:val="singleLevel"/>
    <w:tmpl w:val="C8F5C1D4"/>
    <w:lvl w:ilvl="0" w:tentative="0">
      <w:start w:val="2"/>
      <w:numFmt w:val="decimal"/>
      <w:suff w:val="nothing"/>
      <w:lvlText w:val="（%1）"/>
      <w:lvlJc w:val="left"/>
    </w:lvl>
  </w:abstractNum>
  <w:abstractNum w:abstractNumId="1">
    <w:nsid w:val="4FCC7EBE"/>
    <w:multiLevelType w:val="singleLevel"/>
    <w:tmpl w:val="4FCC7EBE"/>
    <w:lvl w:ilvl="0" w:tentative="0">
      <w:start w:val="2"/>
      <w:numFmt w:val="chineseCounting"/>
      <w:suff w:val="nothing"/>
      <w:lvlText w:val="（%1）"/>
      <w:lvlJc w:val="left"/>
      <w:rPr>
        <w:rFonts w:hint="eastAsia"/>
      </w:rPr>
    </w:lvl>
  </w:abstractNum>
  <w:abstractNum w:abstractNumId="2">
    <w:nsid w:val="52B466AC"/>
    <w:multiLevelType w:val="singleLevel"/>
    <w:tmpl w:val="52B466AC"/>
    <w:lvl w:ilvl="0" w:tentative="0">
      <w:start w:val="1"/>
      <w:numFmt w:val="decimal"/>
      <w:suff w:val="nothing"/>
      <w:lvlText w:val="（%1）"/>
      <w:lvlJc w:val="left"/>
      <w:pPr>
        <w:ind w:left="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4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9BF"/>
    <w:rsid w:val="00007569"/>
    <w:rsid w:val="00020FB7"/>
    <w:rsid w:val="000219C4"/>
    <w:rsid w:val="0002469B"/>
    <w:rsid w:val="000261F2"/>
    <w:rsid w:val="00044884"/>
    <w:rsid w:val="0005057F"/>
    <w:rsid w:val="000531E2"/>
    <w:rsid w:val="000726EE"/>
    <w:rsid w:val="00090772"/>
    <w:rsid w:val="000B4B6A"/>
    <w:rsid w:val="000C1143"/>
    <w:rsid w:val="000C2772"/>
    <w:rsid w:val="000D4E07"/>
    <w:rsid w:val="000D65B6"/>
    <w:rsid w:val="0011373A"/>
    <w:rsid w:val="001166F0"/>
    <w:rsid w:val="00141631"/>
    <w:rsid w:val="001446F0"/>
    <w:rsid w:val="001610C0"/>
    <w:rsid w:val="001632CC"/>
    <w:rsid w:val="001812B4"/>
    <w:rsid w:val="00186B30"/>
    <w:rsid w:val="001A2C93"/>
    <w:rsid w:val="001B0020"/>
    <w:rsid w:val="001B56FA"/>
    <w:rsid w:val="001C0F31"/>
    <w:rsid w:val="001D1EE3"/>
    <w:rsid w:val="001D446F"/>
    <w:rsid w:val="001E5E12"/>
    <w:rsid w:val="0020199A"/>
    <w:rsid w:val="002647B7"/>
    <w:rsid w:val="00281742"/>
    <w:rsid w:val="002861C3"/>
    <w:rsid w:val="0029394E"/>
    <w:rsid w:val="002B2F82"/>
    <w:rsid w:val="002D03F5"/>
    <w:rsid w:val="002D16F4"/>
    <w:rsid w:val="00310843"/>
    <w:rsid w:val="00324340"/>
    <w:rsid w:val="00341E6B"/>
    <w:rsid w:val="003478E7"/>
    <w:rsid w:val="0036774E"/>
    <w:rsid w:val="00370492"/>
    <w:rsid w:val="0038498A"/>
    <w:rsid w:val="00385518"/>
    <w:rsid w:val="00385639"/>
    <w:rsid w:val="003B3C9E"/>
    <w:rsid w:val="003C306B"/>
    <w:rsid w:val="003C5653"/>
    <w:rsid w:val="003E40F9"/>
    <w:rsid w:val="003F7A0E"/>
    <w:rsid w:val="00437EF1"/>
    <w:rsid w:val="00440FF0"/>
    <w:rsid w:val="004422E9"/>
    <w:rsid w:val="00470A03"/>
    <w:rsid w:val="004807E5"/>
    <w:rsid w:val="004819C0"/>
    <w:rsid w:val="004C0E02"/>
    <w:rsid w:val="004C7D15"/>
    <w:rsid w:val="004D42D0"/>
    <w:rsid w:val="004D5AB3"/>
    <w:rsid w:val="00522E76"/>
    <w:rsid w:val="0053715B"/>
    <w:rsid w:val="00544F98"/>
    <w:rsid w:val="00584735"/>
    <w:rsid w:val="005A0C50"/>
    <w:rsid w:val="005A4CA7"/>
    <w:rsid w:val="005C7E80"/>
    <w:rsid w:val="005D1921"/>
    <w:rsid w:val="005D4FBE"/>
    <w:rsid w:val="005E74FA"/>
    <w:rsid w:val="00613065"/>
    <w:rsid w:val="0062185A"/>
    <w:rsid w:val="00625231"/>
    <w:rsid w:val="00635843"/>
    <w:rsid w:val="00647B1E"/>
    <w:rsid w:val="00675243"/>
    <w:rsid w:val="006765B1"/>
    <w:rsid w:val="006910A6"/>
    <w:rsid w:val="00694B2C"/>
    <w:rsid w:val="00696C8A"/>
    <w:rsid w:val="006B02DB"/>
    <w:rsid w:val="006C22B5"/>
    <w:rsid w:val="006D0CC3"/>
    <w:rsid w:val="007224BD"/>
    <w:rsid w:val="00726641"/>
    <w:rsid w:val="00730316"/>
    <w:rsid w:val="00734DF4"/>
    <w:rsid w:val="00753235"/>
    <w:rsid w:val="00770D0A"/>
    <w:rsid w:val="007714EB"/>
    <w:rsid w:val="00775344"/>
    <w:rsid w:val="00785C99"/>
    <w:rsid w:val="007A6119"/>
    <w:rsid w:val="007B437D"/>
    <w:rsid w:val="007E3167"/>
    <w:rsid w:val="00810EBB"/>
    <w:rsid w:val="00815A4F"/>
    <w:rsid w:val="00875698"/>
    <w:rsid w:val="00883E28"/>
    <w:rsid w:val="008A73C0"/>
    <w:rsid w:val="008A7F98"/>
    <w:rsid w:val="008C2D0D"/>
    <w:rsid w:val="008C5A10"/>
    <w:rsid w:val="00905BA2"/>
    <w:rsid w:val="00911269"/>
    <w:rsid w:val="00917AAC"/>
    <w:rsid w:val="00940911"/>
    <w:rsid w:val="009838EB"/>
    <w:rsid w:val="009C6C27"/>
    <w:rsid w:val="009E3A22"/>
    <w:rsid w:val="00A24F92"/>
    <w:rsid w:val="00A34EEE"/>
    <w:rsid w:val="00A41777"/>
    <w:rsid w:val="00A528B1"/>
    <w:rsid w:val="00A62B07"/>
    <w:rsid w:val="00A674AD"/>
    <w:rsid w:val="00A74939"/>
    <w:rsid w:val="00A75902"/>
    <w:rsid w:val="00A85A8A"/>
    <w:rsid w:val="00A91829"/>
    <w:rsid w:val="00AB67FE"/>
    <w:rsid w:val="00AC0E75"/>
    <w:rsid w:val="00AC11CB"/>
    <w:rsid w:val="00AE55D4"/>
    <w:rsid w:val="00AF2546"/>
    <w:rsid w:val="00AF7685"/>
    <w:rsid w:val="00B02F33"/>
    <w:rsid w:val="00B4038E"/>
    <w:rsid w:val="00B42444"/>
    <w:rsid w:val="00B450AA"/>
    <w:rsid w:val="00B55E92"/>
    <w:rsid w:val="00B60138"/>
    <w:rsid w:val="00B81882"/>
    <w:rsid w:val="00B8485F"/>
    <w:rsid w:val="00BB0698"/>
    <w:rsid w:val="00BE06C3"/>
    <w:rsid w:val="00BF5286"/>
    <w:rsid w:val="00C062A6"/>
    <w:rsid w:val="00C11756"/>
    <w:rsid w:val="00C3230C"/>
    <w:rsid w:val="00C52DDE"/>
    <w:rsid w:val="00C56EB9"/>
    <w:rsid w:val="00C67613"/>
    <w:rsid w:val="00C73F2F"/>
    <w:rsid w:val="00C93C18"/>
    <w:rsid w:val="00C966ED"/>
    <w:rsid w:val="00CA2DDB"/>
    <w:rsid w:val="00CB2AFA"/>
    <w:rsid w:val="00CB37C3"/>
    <w:rsid w:val="00CD5491"/>
    <w:rsid w:val="00D257EF"/>
    <w:rsid w:val="00D2743E"/>
    <w:rsid w:val="00D739BF"/>
    <w:rsid w:val="00D91A55"/>
    <w:rsid w:val="00D920E2"/>
    <w:rsid w:val="00E01ED7"/>
    <w:rsid w:val="00E21C49"/>
    <w:rsid w:val="00E22F0B"/>
    <w:rsid w:val="00E3130B"/>
    <w:rsid w:val="00E401E3"/>
    <w:rsid w:val="00E52743"/>
    <w:rsid w:val="00E75E70"/>
    <w:rsid w:val="00E959B4"/>
    <w:rsid w:val="00EB2D86"/>
    <w:rsid w:val="00EC348F"/>
    <w:rsid w:val="00EC7089"/>
    <w:rsid w:val="00ED5788"/>
    <w:rsid w:val="00EF01DF"/>
    <w:rsid w:val="00EF5EB6"/>
    <w:rsid w:val="00F219A5"/>
    <w:rsid w:val="00F424E7"/>
    <w:rsid w:val="00F52C26"/>
    <w:rsid w:val="00F8004B"/>
    <w:rsid w:val="00F923A0"/>
    <w:rsid w:val="00FB157E"/>
    <w:rsid w:val="01010072"/>
    <w:rsid w:val="01021A98"/>
    <w:rsid w:val="01081613"/>
    <w:rsid w:val="010C3D42"/>
    <w:rsid w:val="010D574F"/>
    <w:rsid w:val="010E2F15"/>
    <w:rsid w:val="011548F2"/>
    <w:rsid w:val="01165357"/>
    <w:rsid w:val="011F1FCE"/>
    <w:rsid w:val="011F31E4"/>
    <w:rsid w:val="01224330"/>
    <w:rsid w:val="012757F0"/>
    <w:rsid w:val="012B0AB7"/>
    <w:rsid w:val="01401000"/>
    <w:rsid w:val="014249BD"/>
    <w:rsid w:val="01435B93"/>
    <w:rsid w:val="014933C9"/>
    <w:rsid w:val="014F3651"/>
    <w:rsid w:val="01534424"/>
    <w:rsid w:val="015376C1"/>
    <w:rsid w:val="015600D0"/>
    <w:rsid w:val="0156069C"/>
    <w:rsid w:val="015B4661"/>
    <w:rsid w:val="015D0D1F"/>
    <w:rsid w:val="01637EA9"/>
    <w:rsid w:val="016E343C"/>
    <w:rsid w:val="017B0F74"/>
    <w:rsid w:val="017C66EA"/>
    <w:rsid w:val="018069F1"/>
    <w:rsid w:val="018C1B22"/>
    <w:rsid w:val="01905528"/>
    <w:rsid w:val="01920B9E"/>
    <w:rsid w:val="019D71B2"/>
    <w:rsid w:val="01C60FF0"/>
    <w:rsid w:val="01E17DB9"/>
    <w:rsid w:val="01E70E7F"/>
    <w:rsid w:val="02057043"/>
    <w:rsid w:val="02095182"/>
    <w:rsid w:val="02125B5D"/>
    <w:rsid w:val="022A0485"/>
    <w:rsid w:val="022D5D90"/>
    <w:rsid w:val="02317500"/>
    <w:rsid w:val="023251BB"/>
    <w:rsid w:val="02374195"/>
    <w:rsid w:val="023A392C"/>
    <w:rsid w:val="023B0006"/>
    <w:rsid w:val="023C14AF"/>
    <w:rsid w:val="023E5AE4"/>
    <w:rsid w:val="024162BF"/>
    <w:rsid w:val="02456683"/>
    <w:rsid w:val="024A0A90"/>
    <w:rsid w:val="024A7794"/>
    <w:rsid w:val="024D46F7"/>
    <w:rsid w:val="024D4805"/>
    <w:rsid w:val="0256054B"/>
    <w:rsid w:val="0258138A"/>
    <w:rsid w:val="025D6C81"/>
    <w:rsid w:val="02662DA0"/>
    <w:rsid w:val="02673D36"/>
    <w:rsid w:val="02685F98"/>
    <w:rsid w:val="02695FCF"/>
    <w:rsid w:val="026D2F48"/>
    <w:rsid w:val="027C6D60"/>
    <w:rsid w:val="02853586"/>
    <w:rsid w:val="02921863"/>
    <w:rsid w:val="029B52BC"/>
    <w:rsid w:val="029F5CF5"/>
    <w:rsid w:val="02A42FC3"/>
    <w:rsid w:val="02A507D8"/>
    <w:rsid w:val="02B62BE8"/>
    <w:rsid w:val="02BD60DF"/>
    <w:rsid w:val="02BF40C1"/>
    <w:rsid w:val="02BF75A6"/>
    <w:rsid w:val="02CB36FD"/>
    <w:rsid w:val="02CE7817"/>
    <w:rsid w:val="02CF30A0"/>
    <w:rsid w:val="02D062FA"/>
    <w:rsid w:val="02D9465E"/>
    <w:rsid w:val="02E43B2A"/>
    <w:rsid w:val="02E706F1"/>
    <w:rsid w:val="02E83EA7"/>
    <w:rsid w:val="02EC30A8"/>
    <w:rsid w:val="02EC314B"/>
    <w:rsid w:val="02F22F11"/>
    <w:rsid w:val="02F41484"/>
    <w:rsid w:val="02F45956"/>
    <w:rsid w:val="02F525AC"/>
    <w:rsid w:val="02FC4DEE"/>
    <w:rsid w:val="0300736C"/>
    <w:rsid w:val="03016D78"/>
    <w:rsid w:val="0307668F"/>
    <w:rsid w:val="0311666B"/>
    <w:rsid w:val="03153084"/>
    <w:rsid w:val="031817E1"/>
    <w:rsid w:val="031D1BBB"/>
    <w:rsid w:val="03212608"/>
    <w:rsid w:val="032E6BA8"/>
    <w:rsid w:val="03326DB4"/>
    <w:rsid w:val="03355938"/>
    <w:rsid w:val="033F39B1"/>
    <w:rsid w:val="03454F56"/>
    <w:rsid w:val="034828FE"/>
    <w:rsid w:val="0356212F"/>
    <w:rsid w:val="03622F74"/>
    <w:rsid w:val="03644081"/>
    <w:rsid w:val="03656478"/>
    <w:rsid w:val="03701075"/>
    <w:rsid w:val="037047CF"/>
    <w:rsid w:val="03710D2E"/>
    <w:rsid w:val="037759B5"/>
    <w:rsid w:val="037954B8"/>
    <w:rsid w:val="037C2F0E"/>
    <w:rsid w:val="038379E5"/>
    <w:rsid w:val="03874634"/>
    <w:rsid w:val="03877FE1"/>
    <w:rsid w:val="03895ECE"/>
    <w:rsid w:val="039549BA"/>
    <w:rsid w:val="039F75F1"/>
    <w:rsid w:val="03A65C07"/>
    <w:rsid w:val="03A7617A"/>
    <w:rsid w:val="03B2354C"/>
    <w:rsid w:val="03B42AC4"/>
    <w:rsid w:val="03B535A5"/>
    <w:rsid w:val="03B6581A"/>
    <w:rsid w:val="03C23CA2"/>
    <w:rsid w:val="03D05F3B"/>
    <w:rsid w:val="03DE46B1"/>
    <w:rsid w:val="03DE5080"/>
    <w:rsid w:val="03DE6927"/>
    <w:rsid w:val="03F03CF3"/>
    <w:rsid w:val="03F30B98"/>
    <w:rsid w:val="03FE7CDF"/>
    <w:rsid w:val="04034CDC"/>
    <w:rsid w:val="040B62CF"/>
    <w:rsid w:val="040F0647"/>
    <w:rsid w:val="0410601C"/>
    <w:rsid w:val="041407C9"/>
    <w:rsid w:val="041618F2"/>
    <w:rsid w:val="041E14D3"/>
    <w:rsid w:val="042C70DE"/>
    <w:rsid w:val="042D011C"/>
    <w:rsid w:val="04322E90"/>
    <w:rsid w:val="043B2989"/>
    <w:rsid w:val="043B62EB"/>
    <w:rsid w:val="043C7A0A"/>
    <w:rsid w:val="04443E58"/>
    <w:rsid w:val="044F57F6"/>
    <w:rsid w:val="04584541"/>
    <w:rsid w:val="045F35B7"/>
    <w:rsid w:val="046A489F"/>
    <w:rsid w:val="046A5A1B"/>
    <w:rsid w:val="047A7582"/>
    <w:rsid w:val="047C00D1"/>
    <w:rsid w:val="047F4901"/>
    <w:rsid w:val="04903A15"/>
    <w:rsid w:val="04954DF8"/>
    <w:rsid w:val="04967669"/>
    <w:rsid w:val="049D2BA8"/>
    <w:rsid w:val="04BC5C1D"/>
    <w:rsid w:val="04D52FD2"/>
    <w:rsid w:val="04DD0A3B"/>
    <w:rsid w:val="04EF75D9"/>
    <w:rsid w:val="04F8377B"/>
    <w:rsid w:val="05017B2A"/>
    <w:rsid w:val="05020C96"/>
    <w:rsid w:val="0502191D"/>
    <w:rsid w:val="05047CC1"/>
    <w:rsid w:val="05063106"/>
    <w:rsid w:val="05064B86"/>
    <w:rsid w:val="050C0EAD"/>
    <w:rsid w:val="05110A04"/>
    <w:rsid w:val="05186645"/>
    <w:rsid w:val="0519047A"/>
    <w:rsid w:val="051F44F1"/>
    <w:rsid w:val="0520664C"/>
    <w:rsid w:val="05265751"/>
    <w:rsid w:val="05473F88"/>
    <w:rsid w:val="054D6B83"/>
    <w:rsid w:val="05525A5A"/>
    <w:rsid w:val="05547B01"/>
    <w:rsid w:val="05580B2B"/>
    <w:rsid w:val="055B2329"/>
    <w:rsid w:val="055B5EF9"/>
    <w:rsid w:val="056400B1"/>
    <w:rsid w:val="056424B7"/>
    <w:rsid w:val="05667649"/>
    <w:rsid w:val="05687A8C"/>
    <w:rsid w:val="056A52DE"/>
    <w:rsid w:val="056A7DFF"/>
    <w:rsid w:val="056C152C"/>
    <w:rsid w:val="05787248"/>
    <w:rsid w:val="05830966"/>
    <w:rsid w:val="05892049"/>
    <w:rsid w:val="058B5642"/>
    <w:rsid w:val="05915CB5"/>
    <w:rsid w:val="05917B11"/>
    <w:rsid w:val="059653DA"/>
    <w:rsid w:val="05A11627"/>
    <w:rsid w:val="05A30116"/>
    <w:rsid w:val="05A74730"/>
    <w:rsid w:val="05AA773E"/>
    <w:rsid w:val="05AD759A"/>
    <w:rsid w:val="05B1624F"/>
    <w:rsid w:val="05B65AAB"/>
    <w:rsid w:val="05B84726"/>
    <w:rsid w:val="05B96C3B"/>
    <w:rsid w:val="05BC0842"/>
    <w:rsid w:val="05BD5503"/>
    <w:rsid w:val="05C5177D"/>
    <w:rsid w:val="05C60181"/>
    <w:rsid w:val="05CB4F15"/>
    <w:rsid w:val="05D842C7"/>
    <w:rsid w:val="05DE5C5E"/>
    <w:rsid w:val="05E03D42"/>
    <w:rsid w:val="05FE60FB"/>
    <w:rsid w:val="06061916"/>
    <w:rsid w:val="060D13D5"/>
    <w:rsid w:val="060E70E6"/>
    <w:rsid w:val="060F5093"/>
    <w:rsid w:val="06236CD8"/>
    <w:rsid w:val="062B1D51"/>
    <w:rsid w:val="063C3563"/>
    <w:rsid w:val="06487D39"/>
    <w:rsid w:val="064B1267"/>
    <w:rsid w:val="064B3CEB"/>
    <w:rsid w:val="064B563B"/>
    <w:rsid w:val="06543C58"/>
    <w:rsid w:val="06591D58"/>
    <w:rsid w:val="065F4307"/>
    <w:rsid w:val="06657985"/>
    <w:rsid w:val="067005AD"/>
    <w:rsid w:val="067158A5"/>
    <w:rsid w:val="06796039"/>
    <w:rsid w:val="068C7D25"/>
    <w:rsid w:val="068E0EDC"/>
    <w:rsid w:val="06923230"/>
    <w:rsid w:val="06975A80"/>
    <w:rsid w:val="069854B1"/>
    <w:rsid w:val="069F77B5"/>
    <w:rsid w:val="06A0635E"/>
    <w:rsid w:val="06B77CE0"/>
    <w:rsid w:val="06BB0778"/>
    <w:rsid w:val="06C509DE"/>
    <w:rsid w:val="06D425E0"/>
    <w:rsid w:val="06D91E5F"/>
    <w:rsid w:val="06DA48A4"/>
    <w:rsid w:val="06DB6900"/>
    <w:rsid w:val="06E05818"/>
    <w:rsid w:val="06EB5BEC"/>
    <w:rsid w:val="06EC2933"/>
    <w:rsid w:val="06F236DC"/>
    <w:rsid w:val="06F60C36"/>
    <w:rsid w:val="06F67FCA"/>
    <w:rsid w:val="070107C0"/>
    <w:rsid w:val="07037004"/>
    <w:rsid w:val="070B1049"/>
    <w:rsid w:val="071F6F39"/>
    <w:rsid w:val="0721291F"/>
    <w:rsid w:val="07231105"/>
    <w:rsid w:val="073339F0"/>
    <w:rsid w:val="07346A7B"/>
    <w:rsid w:val="073B4E9F"/>
    <w:rsid w:val="07443726"/>
    <w:rsid w:val="07473F05"/>
    <w:rsid w:val="074E7C06"/>
    <w:rsid w:val="07525948"/>
    <w:rsid w:val="075408AE"/>
    <w:rsid w:val="075C5BF9"/>
    <w:rsid w:val="076E2E87"/>
    <w:rsid w:val="0789683D"/>
    <w:rsid w:val="079347E0"/>
    <w:rsid w:val="079D000E"/>
    <w:rsid w:val="079F550D"/>
    <w:rsid w:val="07A76401"/>
    <w:rsid w:val="07A840E8"/>
    <w:rsid w:val="07B0086A"/>
    <w:rsid w:val="07B53883"/>
    <w:rsid w:val="07BA454B"/>
    <w:rsid w:val="07BE50A2"/>
    <w:rsid w:val="07BE7988"/>
    <w:rsid w:val="07BF0316"/>
    <w:rsid w:val="07CC0C12"/>
    <w:rsid w:val="07D000F4"/>
    <w:rsid w:val="07D861B7"/>
    <w:rsid w:val="07DE06BF"/>
    <w:rsid w:val="07E722CB"/>
    <w:rsid w:val="07E91EA4"/>
    <w:rsid w:val="07EA76D7"/>
    <w:rsid w:val="07F1379F"/>
    <w:rsid w:val="07F61D03"/>
    <w:rsid w:val="07F805BB"/>
    <w:rsid w:val="07F85B3D"/>
    <w:rsid w:val="08151E19"/>
    <w:rsid w:val="08225D94"/>
    <w:rsid w:val="08227BEC"/>
    <w:rsid w:val="08272FD3"/>
    <w:rsid w:val="082779D0"/>
    <w:rsid w:val="08277D95"/>
    <w:rsid w:val="08305F93"/>
    <w:rsid w:val="083371A0"/>
    <w:rsid w:val="08337685"/>
    <w:rsid w:val="08402B4A"/>
    <w:rsid w:val="08411F8B"/>
    <w:rsid w:val="08462037"/>
    <w:rsid w:val="08493089"/>
    <w:rsid w:val="084D4C5F"/>
    <w:rsid w:val="08573555"/>
    <w:rsid w:val="085A6403"/>
    <w:rsid w:val="085F52A6"/>
    <w:rsid w:val="08636671"/>
    <w:rsid w:val="08644290"/>
    <w:rsid w:val="08691C9D"/>
    <w:rsid w:val="08733140"/>
    <w:rsid w:val="087912F3"/>
    <w:rsid w:val="0882386D"/>
    <w:rsid w:val="089D73DC"/>
    <w:rsid w:val="08A11EF2"/>
    <w:rsid w:val="08A357A5"/>
    <w:rsid w:val="08A73F82"/>
    <w:rsid w:val="08A83B7B"/>
    <w:rsid w:val="08B04F3F"/>
    <w:rsid w:val="08B251BE"/>
    <w:rsid w:val="08B342CA"/>
    <w:rsid w:val="08B629AD"/>
    <w:rsid w:val="08BE1311"/>
    <w:rsid w:val="08BE210F"/>
    <w:rsid w:val="08C54A50"/>
    <w:rsid w:val="08C86AF8"/>
    <w:rsid w:val="08CA5DE9"/>
    <w:rsid w:val="08CE6112"/>
    <w:rsid w:val="08D0145C"/>
    <w:rsid w:val="08D2412C"/>
    <w:rsid w:val="08D86911"/>
    <w:rsid w:val="08DA7788"/>
    <w:rsid w:val="08E02DD3"/>
    <w:rsid w:val="08E44803"/>
    <w:rsid w:val="08E74C7C"/>
    <w:rsid w:val="08EA12DE"/>
    <w:rsid w:val="08EC545D"/>
    <w:rsid w:val="08F53A9F"/>
    <w:rsid w:val="08F9704C"/>
    <w:rsid w:val="08FB5F75"/>
    <w:rsid w:val="08FC22B3"/>
    <w:rsid w:val="08FD5A9C"/>
    <w:rsid w:val="09007783"/>
    <w:rsid w:val="09135C5A"/>
    <w:rsid w:val="0922534F"/>
    <w:rsid w:val="09266BCD"/>
    <w:rsid w:val="09340A2A"/>
    <w:rsid w:val="093926D6"/>
    <w:rsid w:val="093B7FE3"/>
    <w:rsid w:val="09494248"/>
    <w:rsid w:val="094950B4"/>
    <w:rsid w:val="094F58B0"/>
    <w:rsid w:val="09535BC7"/>
    <w:rsid w:val="095775C9"/>
    <w:rsid w:val="095A5B6D"/>
    <w:rsid w:val="095C18F4"/>
    <w:rsid w:val="095E1705"/>
    <w:rsid w:val="095F0810"/>
    <w:rsid w:val="096B27AE"/>
    <w:rsid w:val="09712AF8"/>
    <w:rsid w:val="09747530"/>
    <w:rsid w:val="09786EFC"/>
    <w:rsid w:val="097A555E"/>
    <w:rsid w:val="098113DB"/>
    <w:rsid w:val="09876AE6"/>
    <w:rsid w:val="098D645E"/>
    <w:rsid w:val="099422C8"/>
    <w:rsid w:val="099566E0"/>
    <w:rsid w:val="09AD6B6E"/>
    <w:rsid w:val="09BF3703"/>
    <w:rsid w:val="09BF78C7"/>
    <w:rsid w:val="09C41CC3"/>
    <w:rsid w:val="09C80D07"/>
    <w:rsid w:val="09CC4BED"/>
    <w:rsid w:val="09D16595"/>
    <w:rsid w:val="09D1762E"/>
    <w:rsid w:val="09D74A83"/>
    <w:rsid w:val="09DA532F"/>
    <w:rsid w:val="09E544AC"/>
    <w:rsid w:val="09E545BF"/>
    <w:rsid w:val="09E77A96"/>
    <w:rsid w:val="09EC5EA9"/>
    <w:rsid w:val="09F17ADA"/>
    <w:rsid w:val="09FF15D5"/>
    <w:rsid w:val="0A01505C"/>
    <w:rsid w:val="0A0866E2"/>
    <w:rsid w:val="0A0941A8"/>
    <w:rsid w:val="0A1B44A0"/>
    <w:rsid w:val="0A2A5939"/>
    <w:rsid w:val="0A305E6F"/>
    <w:rsid w:val="0A351CE5"/>
    <w:rsid w:val="0A363F6D"/>
    <w:rsid w:val="0A392A11"/>
    <w:rsid w:val="0A3A3495"/>
    <w:rsid w:val="0A413D84"/>
    <w:rsid w:val="0A45434D"/>
    <w:rsid w:val="0A5067AE"/>
    <w:rsid w:val="0A532210"/>
    <w:rsid w:val="0A532992"/>
    <w:rsid w:val="0A57140D"/>
    <w:rsid w:val="0A59220D"/>
    <w:rsid w:val="0A5C786E"/>
    <w:rsid w:val="0A5E40CF"/>
    <w:rsid w:val="0A652FBB"/>
    <w:rsid w:val="0A6E429A"/>
    <w:rsid w:val="0A753371"/>
    <w:rsid w:val="0A783AC7"/>
    <w:rsid w:val="0A7D0F2B"/>
    <w:rsid w:val="0A854BC8"/>
    <w:rsid w:val="0A8C0DF0"/>
    <w:rsid w:val="0A8D6C26"/>
    <w:rsid w:val="0A8E1519"/>
    <w:rsid w:val="0A973182"/>
    <w:rsid w:val="0A981283"/>
    <w:rsid w:val="0A9C242D"/>
    <w:rsid w:val="0AB0494C"/>
    <w:rsid w:val="0AB35C2A"/>
    <w:rsid w:val="0ABC328E"/>
    <w:rsid w:val="0ABC75EF"/>
    <w:rsid w:val="0AC31110"/>
    <w:rsid w:val="0AC641BF"/>
    <w:rsid w:val="0ACD5A29"/>
    <w:rsid w:val="0AD86987"/>
    <w:rsid w:val="0ADD7267"/>
    <w:rsid w:val="0ADF145F"/>
    <w:rsid w:val="0AE524F5"/>
    <w:rsid w:val="0AF04732"/>
    <w:rsid w:val="0B00795D"/>
    <w:rsid w:val="0B0152C8"/>
    <w:rsid w:val="0B0537D8"/>
    <w:rsid w:val="0B056BED"/>
    <w:rsid w:val="0B0D6DA1"/>
    <w:rsid w:val="0B133CAF"/>
    <w:rsid w:val="0B192C78"/>
    <w:rsid w:val="0B1E078F"/>
    <w:rsid w:val="0B2B1B21"/>
    <w:rsid w:val="0B2B47C4"/>
    <w:rsid w:val="0B2C44C9"/>
    <w:rsid w:val="0B363F51"/>
    <w:rsid w:val="0B392B60"/>
    <w:rsid w:val="0B3F55DC"/>
    <w:rsid w:val="0B4912CC"/>
    <w:rsid w:val="0B4A6BE4"/>
    <w:rsid w:val="0B4B0D13"/>
    <w:rsid w:val="0B520F90"/>
    <w:rsid w:val="0B592AFE"/>
    <w:rsid w:val="0B5B5009"/>
    <w:rsid w:val="0B5D0B3A"/>
    <w:rsid w:val="0B5E4BFF"/>
    <w:rsid w:val="0B645C40"/>
    <w:rsid w:val="0B6B3C05"/>
    <w:rsid w:val="0B7814F3"/>
    <w:rsid w:val="0B7E7359"/>
    <w:rsid w:val="0B85443E"/>
    <w:rsid w:val="0B91121B"/>
    <w:rsid w:val="0BA35052"/>
    <w:rsid w:val="0BAA2BDA"/>
    <w:rsid w:val="0BB01001"/>
    <w:rsid w:val="0BB51830"/>
    <w:rsid w:val="0BB65F43"/>
    <w:rsid w:val="0BB8164F"/>
    <w:rsid w:val="0BC12AC7"/>
    <w:rsid w:val="0BCF515A"/>
    <w:rsid w:val="0BD12280"/>
    <w:rsid w:val="0BDF701F"/>
    <w:rsid w:val="0BE2664D"/>
    <w:rsid w:val="0BE35337"/>
    <w:rsid w:val="0BEB7BAA"/>
    <w:rsid w:val="0BED1652"/>
    <w:rsid w:val="0BFE3A2C"/>
    <w:rsid w:val="0BFE626E"/>
    <w:rsid w:val="0BFF0C24"/>
    <w:rsid w:val="0C0A439B"/>
    <w:rsid w:val="0C172B8B"/>
    <w:rsid w:val="0C19185F"/>
    <w:rsid w:val="0C1F0AF3"/>
    <w:rsid w:val="0C202DD2"/>
    <w:rsid w:val="0C213401"/>
    <w:rsid w:val="0C2472D4"/>
    <w:rsid w:val="0C2668F1"/>
    <w:rsid w:val="0C2F2966"/>
    <w:rsid w:val="0C2F5483"/>
    <w:rsid w:val="0C373049"/>
    <w:rsid w:val="0C373BBD"/>
    <w:rsid w:val="0C401A18"/>
    <w:rsid w:val="0C456919"/>
    <w:rsid w:val="0C465B6D"/>
    <w:rsid w:val="0C49205B"/>
    <w:rsid w:val="0C555B81"/>
    <w:rsid w:val="0C58601E"/>
    <w:rsid w:val="0C5C7D2B"/>
    <w:rsid w:val="0C5D1E62"/>
    <w:rsid w:val="0C6C55B1"/>
    <w:rsid w:val="0C76141F"/>
    <w:rsid w:val="0C7B1FB0"/>
    <w:rsid w:val="0C84671F"/>
    <w:rsid w:val="0C8832FE"/>
    <w:rsid w:val="0C885F82"/>
    <w:rsid w:val="0C9104C6"/>
    <w:rsid w:val="0C91669E"/>
    <w:rsid w:val="0C9301CC"/>
    <w:rsid w:val="0C967D8B"/>
    <w:rsid w:val="0C9904F5"/>
    <w:rsid w:val="0C9E004A"/>
    <w:rsid w:val="0CA04332"/>
    <w:rsid w:val="0CAF510F"/>
    <w:rsid w:val="0CB042E5"/>
    <w:rsid w:val="0CB30036"/>
    <w:rsid w:val="0CB30E53"/>
    <w:rsid w:val="0CB40E5B"/>
    <w:rsid w:val="0CB4415B"/>
    <w:rsid w:val="0CB63B0B"/>
    <w:rsid w:val="0CBC0E72"/>
    <w:rsid w:val="0CC42B94"/>
    <w:rsid w:val="0CC4364F"/>
    <w:rsid w:val="0CC54028"/>
    <w:rsid w:val="0CC66938"/>
    <w:rsid w:val="0CC855EA"/>
    <w:rsid w:val="0CCB40B9"/>
    <w:rsid w:val="0CCC1A3C"/>
    <w:rsid w:val="0CCD5D53"/>
    <w:rsid w:val="0CCE285E"/>
    <w:rsid w:val="0CD24CD8"/>
    <w:rsid w:val="0CDB7F97"/>
    <w:rsid w:val="0CE237D0"/>
    <w:rsid w:val="0CE7460B"/>
    <w:rsid w:val="0CF13533"/>
    <w:rsid w:val="0CF25D65"/>
    <w:rsid w:val="0CF30DC5"/>
    <w:rsid w:val="0CF562EB"/>
    <w:rsid w:val="0CF83AFD"/>
    <w:rsid w:val="0CF91B50"/>
    <w:rsid w:val="0D060062"/>
    <w:rsid w:val="0D087D56"/>
    <w:rsid w:val="0D117C5D"/>
    <w:rsid w:val="0D233EB3"/>
    <w:rsid w:val="0D2939CA"/>
    <w:rsid w:val="0D303436"/>
    <w:rsid w:val="0D337704"/>
    <w:rsid w:val="0D34684E"/>
    <w:rsid w:val="0D3C1D61"/>
    <w:rsid w:val="0D47339A"/>
    <w:rsid w:val="0D4D2BE7"/>
    <w:rsid w:val="0D553203"/>
    <w:rsid w:val="0D55778F"/>
    <w:rsid w:val="0D5A4D1E"/>
    <w:rsid w:val="0D635AC3"/>
    <w:rsid w:val="0D640E79"/>
    <w:rsid w:val="0D674849"/>
    <w:rsid w:val="0D695CCC"/>
    <w:rsid w:val="0D6B2111"/>
    <w:rsid w:val="0D7A19FC"/>
    <w:rsid w:val="0D7B6B9F"/>
    <w:rsid w:val="0D7D1830"/>
    <w:rsid w:val="0D80231D"/>
    <w:rsid w:val="0D813543"/>
    <w:rsid w:val="0D877ED1"/>
    <w:rsid w:val="0D8A16B2"/>
    <w:rsid w:val="0D8D635C"/>
    <w:rsid w:val="0DAB1687"/>
    <w:rsid w:val="0DAB3237"/>
    <w:rsid w:val="0DB81682"/>
    <w:rsid w:val="0DB9422D"/>
    <w:rsid w:val="0DBC2BE1"/>
    <w:rsid w:val="0DC25287"/>
    <w:rsid w:val="0DC30E5C"/>
    <w:rsid w:val="0DC96C79"/>
    <w:rsid w:val="0DCD3086"/>
    <w:rsid w:val="0DDB3650"/>
    <w:rsid w:val="0DDF6F08"/>
    <w:rsid w:val="0DE7783B"/>
    <w:rsid w:val="0DF0263A"/>
    <w:rsid w:val="0DF413BD"/>
    <w:rsid w:val="0E050474"/>
    <w:rsid w:val="0E125392"/>
    <w:rsid w:val="0E174CA0"/>
    <w:rsid w:val="0E191C84"/>
    <w:rsid w:val="0E1C3338"/>
    <w:rsid w:val="0E1E4432"/>
    <w:rsid w:val="0E212F6F"/>
    <w:rsid w:val="0E2A2381"/>
    <w:rsid w:val="0E344C94"/>
    <w:rsid w:val="0E363ACC"/>
    <w:rsid w:val="0E404601"/>
    <w:rsid w:val="0E4143E9"/>
    <w:rsid w:val="0E4B5880"/>
    <w:rsid w:val="0E4D0814"/>
    <w:rsid w:val="0E4D51FD"/>
    <w:rsid w:val="0E4E28FA"/>
    <w:rsid w:val="0E5729B2"/>
    <w:rsid w:val="0E6416D7"/>
    <w:rsid w:val="0E7C6A08"/>
    <w:rsid w:val="0E8156F3"/>
    <w:rsid w:val="0E835CCD"/>
    <w:rsid w:val="0E86141F"/>
    <w:rsid w:val="0E8646FF"/>
    <w:rsid w:val="0E8C015F"/>
    <w:rsid w:val="0E9D1D85"/>
    <w:rsid w:val="0EA42398"/>
    <w:rsid w:val="0EA625ED"/>
    <w:rsid w:val="0EA66C44"/>
    <w:rsid w:val="0EB10D65"/>
    <w:rsid w:val="0EB97BAE"/>
    <w:rsid w:val="0EBA2A87"/>
    <w:rsid w:val="0EBD7E7E"/>
    <w:rsid w:val="0EC012FB"/>
    <w:rsid w:val="0ECE3EF4"/>
    <w:rsid w:val="0EE03D8C"/>
    <w:rsid w:val="0EE37B2A"/>
    <w:rsid w:val="0EF215B8"/>
    <w:rsid w:val="0EF442A8"/>
    <w:rsid w:val="0EF64F3A"/>
    <w:rsid w:val="0F163A64"/>
    <w:rsid w:val="0F187B0A"/>
    <w:rsid w:val="0F26074B"/>
    <w:rsid w:val="0F2B3FFF"/>
    <w:rsid w:val="0F2C77B2"/>
    <w:rsid w:val="0F390CF3"/>
    <w:rsid w:val="0F583BFC"/>
    <w:rsid w:val="0F5A7282"/>
    <w:rsid w:val="0F5B0265"/>
    <w:rsid w:val="0F666517"/>
    <w:rsid w:val="0F6F0CC8"/>
    <w:rsid w:val="0F721F4B"/>
    <w:rsid w:val="0F731BFB"/>
    <w:rsid w:val="0F7B1A17"/>
    <w:rsid w:val="0F807ECD"/>
    <w:rsid w:val="0F841107"/>
    <w:rsid w:val="0F875B09"/>
    <w:rsid w:val="0F8A6D7B"/>
    <w:rsid w:val="0F8B1AB0"/>
    <w:rsid w:val="0F8D588B"/>
    <w:rsid w:val="0F932E5B"/>
    <w:rsid w:val="0F980097"/>
    <w:rsid w:val="0F9910B9"/>
    <w:rsid w:val="0FA40CB8"/>
    <w:rsid w:val="0FAA5FCA"/>
    <w:rsid w:val="0FB43C92"/>
    <w:rsid w:val="0FB53097"/>
    <w:rsid w:val="0FBA4F87"/>
    <w:rsid w:val="0FBB6B91"/>
    <w:rsid w:val="0FD44080"/>
    <w:rsid w:val="0FE136C0"/>
    <w:rsid w:val="0FF15BB4"/>
    <w:rsid w:val="0FF64054"/>
    <w:rsid w:val="100144B9"/>
    <w:rsid w:val="10016413"/>
    <w:rsid w:val="10016899"/>
    <w:rsid w:val="1003570C"/>
    <w:rsid w:val="10123444"/>
    <w:rsid w:val="101264EB"/>
    <w:rsid w:val="10175BCC"/>
    <w:rsid w:val="102248B3"/>
    <w:rsid w:val="103474DC"/>
    <w:rsid w:val="103E3B58"/>
    <w:rsid w:val="105C44B6"/>
    <w:rsid w:val="105F1622"/>
    <w:rsid w:val="106670EB"/>
    <w:rsid w:val="106A7FFF"/>
    <w:rsid w:val="10730A01"/>
    <w:rsid w:val="10784138"/>
    <w:rsid w:val="10796102"/>
    <w:rsid w:val="108109CA"/>
    <w:rsid w:val="10877636"/>
    <w:rsid w:val="10906195"/>
    <w:rsid w:val="10921840"/>
    <w:rsid w:val="10927074"/>
    <w:rsid w:val="109744F1"/>
    <w:rsid w:val="109B2639"/>
    <w:rsid w:val="10A149C6"/>
    <w:rsid w:val="10A25DC9"/>
    <w:rsid w:val="10AD0A19"/>
    <w:rsid w:val="10B07006"/>
    <w:rsid w:val="10B96501"/>
    <w:rsid w:val="10BB70F7"/>
    <w:rsid w:val="10BC3F9F"/>
    <w:rsid w:val="10C57BF4"/>
    <w:rsid w:val="10C74249"/>
    <w:rsid w:val="10C757F9"/>
    <w:rsid w:val="10CE53A5"/>
    <w:rsid w:val="10DC5D2B"/>
    <w:rsid w:val="10EF1485"/>
    <w:rsid w:val="10F55009"/>
    <w:rsid w:val="10FD020F"/>
    <w:rsid w:val="10FE5D36"/>
    <w:rsid w:val="11027827"/>
    <w:rsid w:val="11032465"/>
    <w:rsid w:val="110354E4"/>
    <w:rsid w:val="110479F7"/>
    <w:rsid w:val="11274215"/>
    <w:rsid w:val="11277E42"/>
    <w:rsid w:val="112C0267"/>
    <w:rsid w:val="112D1B27"/>
    <w:rsid w:val="11320455"/>
    <w:rsid w:val="113835D6"/>
    <w:rsid w:val="113B1FC7"/>
    <w:rsid w:val="113C56E7"/>
    <w:rsid w:val="11401D33"/>
    <w:rsid w:val="114B1274"/>
    <w:rsid w:val="115718FD"/>
    <w:rsid w:val="115A0C44"/>
    <w:rsid w:val="115C0C26"/>
    <w:rsid w:val="115D7B64"/>
    <w:rsid w:val="116473B1"/>
    <w:rsid w:val="116C44F8"/>
    <w:rsid w:val="117C43D8"/>
    <w:rsid w:val="1181281A"/>
    <w:rsid w:val="118D0261"/>
    <w:rsid w:val="119978DF"/>
    <w:rsid w:val="11A34471"/>
    <w:rsid w:val="11A576A5"/>
    <w:rsid w:val="11A7419B"/>
    <w:rsid w:val="11AC64EB"/>
    <w:rsid w:val="11B15131"/>
    <w:rsid w:val="11B21340"/>
    <w:rsid w:val="11C36B4A"/>
    <w:rsid w:val="11CB0FB4"/>
    <w:rsid w:val="11D112AD"/>
    <w:rsid w:val="11D87744"/>
    <w:rsid w:val="11DB16B6"/>
    <w:rsid w:val="11E27D2A"/>
    <w:rsid w:val="11E443DF"/>
    <w:rsid w:val="11EA3B0D"/>
    <w:rsid w:val="11EC3D84"/>
    <w:rsid w:val="11EF035A"/>
    <w:rsid w:val="11EF57CB"/>
    <w:rsid w:val="11FD27F3"/>
    <w:rsid w:val="12072BF5"/>
    <w:rsid w:val="120C53CC"/>
    <w:rsid w:val="120D17B7"/>
    <w:rsid w:val="121161D7"/>
    <w:rsid w:val="121D6BAC"/>
    <w:rsid w:val="122C0CD2"/>
    <w:rsid w:val="122D21B4"/>
    <w:rsid w:val="123202D5"/>
    <w:rsid w:val="1237401C"/>
    <w:rsid w:val="123B6000"/>
    <w:rsid w:val="123E0192"/>
    <w:rsid w:val="12414518"/>
    <w:rsid w:val="125528F3"/>
    <w:rsid w:val="125C1FF8"/>
    <w:rsid w:val="125F5DF0"/>
    <w:rsid w:val="126A07CF"/>
    <w:rsid w:val="128468DD"/>
    <w:rsid w:val="128672BC"/>
    <w:rsid w:val="128A0375"/>
    <w:rsid w:val="128C1AC9"/>
    <w:rsid w:val="129404ED"/>
    <w:rsid w:val="12A51E61"/>
    <w:rsid w:val="12A97085"/>
    <w:rsid w:val="12AD1365"/>
    <w:rsid w:val="12B170B2"/>
    <w:rsid w:val="12B26E17"/>
    <w:rsid w:val="12B94193"/>
    <w:rsid w:val="12C34482"/>
    <w:rsid w:val="12CD120A"/>
    <w:rsid w:val="12CE6FA1"/>
    <w:rsid w:val="12D27D1A"/>
    <w:rsid w:val="12D52DC5"/>
    <w:rsid w:val="12D66F75"/>
    <w:rsid w:val="12DC0010"/>
    <w:rsid w:val="12DC49B4"/>
    <w:rsid w:val="12DD245F"/>
    <w:rsid w:val="12E131F6"/>
    <w:rsid w:val="12E47F03"/>
    <w:rsid w:val="12E63A41"/>
    <w:rsid w:val="12F27FE5"/>
    <w:rsid w:val="12F365C9"/>
    <w:rsid w:val="13007AEE"/>
    <w:rsid w:val="1307653B"/>
    <w:rsid w:val="13093A14"/>
    <w:rsid w:val="130D2E57"/>
    <w:rsid w:val="13115826"/>
    <w:rsid w:val="131B3FB4"/>
    <w:rsid w:val="131E1C42"/>
    <w:rsid w:val="13204DFE"/>
    <w:rsid w:val="133D7D56"/>
    <w:rsid w:val="13435F06"/>
    <w:rsid w:val="134F5905"/>
    <w:rsid w:val="135902EA"/>
    <w:rsid w:val="135B1D5A"/>
    <w:rsid w:val="135C3E6A"/>
    <w:rsid w:val="135D069E"/>
    <w:rsid w:val="1369779C"/>
    <w:rsid w:val="136F3720"/>
    <w:rsid w:val="13754E15"/>
    <w:rsid w:val="1377173D"/>
    <w:rsid w:val="137A6A01"/>
    <w:rsid w:val="137D5DF5"/>
    <w:rsid w:val="13816A50"/>
    <w:rsid w:val="13837788"/>
    <w:rsid w:val="13880764"/>
    <w:rsid w:val="138B792F"/>
    <w:rsid w:val="138D085B"/>
    <w:rsid w:val="13910868"/>
    <w:rsid w:val="13913D0C"/>
    <w:rsid w:val="13953028"/>
    <w:rsid w:val="139A2B0D"/>
    <w:rsid w:val="13A16276"/>
    <w:rsid w:val="13A8182F"/>
    <w:rsid w:val="13AC081B"/>
    <w:rsid w:val="13B60927"/>
    <w:rsid w:val="13B745A7"/>
    <w:rsid w:val="13BC561F"/>
    <w:rsid w:val="13BD6C61"/>
    <w:rsid w:val="13C819BD"/>
    <w:rsid w:val="13CA1419"/>
    <w:rsid w:val="13D31CCD"/>
    <w:rsid w:val="13DB748C"/>
    <w:rsid w:val="13E27A0E"/>
    <w:rsid w:val="13EF32A9"/>
    <w:rsid w:val="13FF5061"/>
    <w:rsid w:val="14045CA8"/>
    <w:rsid w:val="14050219"/>
    <w:rsid w:val="140C31E9"/>
    <w:rsid w:val="140D2FA5"/>
    <w:rsid w:val="141106FD"/>
    <w:rsid w:val="14115973"/>
    <w:rsid w:val="14130A37"/>
    <w:rsid w:val="14171CEA"/>
    <w:rsid w:val="14197547"/>
    <w:rsid w:val="141976CC"/>
    <w:rsid w:val="141A788D"/>
    <w:rsid w:val="142B38B4"/>
    <w:rsid w:val="1432061C"/>
    <w:rsid w:val="14344C83"/>
    <w:rsid w:val="14387484"/>
    <w:rsid w:val="143A00BF"/>
    <w:rsid w:val="14445267"/>
    <w:rsid w:val="144466E5"/>
    <w:rsid w:val="144C03E9"/>
    <w:rsid w:val="144D0044"/>
    <w:rsid w:val="144D505A"/>
    <w:rsid w:val="145213E2"/>
    <w:rsid w:val="145356CF"/>
    <w:rsid w:val="145A670A"/>
    <w:rsid w:val="145E5950"/>
    <w:rsid w:val="14684232"/>
    <w:rsid w:val="146A41FB"/>
    <w:rsid w:val="14787F8F"/>
    <w:rsid w:val="147C4D44"/>
    <w:rsid w:val="14834A3F"/>
    <w:rsid w:val="148774F5"/>
    <w:rsid w:val="148B1493"/>
    <w:rsid w:val="148D67A9"/>
    <w:rsid w:val="14942326"/>
    <w:rsid w:val="14954C58"/>
    <w:rsid w:val="14971A05"/>
    <w:rsid w:val="149E3843"/>
    <w:rsid w:val="14A64146"/>
    <w:rsid w:val="14A768B8"/>
    <w:rsid w:val="14AD04C4"/>
    <w:rsid w:val="14AE1532"/>
    <w:rsid w:val="14AE65C4"/>
    <w:rsid w:val="14AF4AE6"/>
    <w:rsid w:val="14AF7BD6"/>
    <w:rsid w:val="14B03A10"/>
    <w:rsid w:val="14B40629"/>
    <w:rsid w:val="14C177EA"/>
    <w:rsid w:val="14C51618"/>
    <w:rsid w:val="14D23510"/>
    <w:rsid w:val="14D60FAF"/>
    <w:rsid w:val="14D63F89"/>
    <w:rsid w:val="14E8433B"/>
    <w:rsid w:val="14E91F9B"/>
    <w:rsid w:val="14EE7EE7"/>
    <w:rsid w:val="14F112DE"/>
    <w:rsid w:val="14F9228F"/>
    <w:rsid w:val="14FE7947"/>
    <w:rsid w:val="14FF29F3"/>
    <w:rsid w:val="150F1D82"/>
    <w:rsid w:val="15133C95"/>
    <w:rsid w:val="151C7583"/>
    <w:rsid w:val="15240C90"/>
    <w:rsid w:val="1525244D"/>
    <w:rsid w:val="1527613B"/>
    <w:rsid w:val="15280D7A"/>
    <w:rsid w:val="152C4917"/>
    <w:rsid w:val="15313204"/>
    <w:rsid w:val="153D38F8"/>
    <w:rsid w:val="153F2ABB"/>
    <w:rsid w:val="154408E3"/>
    <w:rsid w:val="15445008"/>
    <w:rsid w:val="154C5B6A"/>
    <w:rsid w:val="1552416F"/>
    <w:rsid w:val="155640AB"/>
    <w:rsid w:val="155A22AD"/>
    <w:rsid w:val="155B76AA"/>
    <w:rsid w:val="1562787B"/>
    <w:rsid w:val="15633DF4"/>
    <w:rsid w:val="15680F78"/>
    <w:rsid w:val="156C401B"/>
    <w:rsid w:val="1576447F"/>
    <w:rsid w:val="157F27DA"/>
    <w:rsid w:val="158179D5"/>
    <w:rsid w:val="15846B6E"/>
    <w:rsid w:val="15876424"/>
    <w:rsid w:val="15925909"/>
    <w:rsid w:val="15A91F3C"/>
    <w:rsid w:val="15AA6BA2"/>
    <w:rsid w:val="15AF17FA"/>
    <w:rsid w:val="15B846EE"/>
    <w:rsid w:val="15CB0909"/>
    <w:rsid w:val="15D27E18"/>
    <w:rsid w:val="15D3035E"/>
    <w:rsid w:val="15D44E2F"/>
    <w:rsid w:val="15DC5D46"/>
    <w:rsid w:val="15E252A8"/>
    <w:rsid w:val="15E728FE"/>
    <w:rsid w:val="15E82626"/>
    <w:rsid w:val="15ED62E6"/>
    <w:rsid w:val="15F977BC"/>
    <w:rsid w:val="15FC4602"/>
    <w:rsid w:val="15FE6BAB"/>
    <w:rsid w:val="16030F5A"/>
    <w:rsid w:val="1605337F"/>
    <w:rsid w:val="16054483"/>
    <w:rsid w:val="1606091A"/>
    <w:rsid w:val="160734CA"/>
    <w:rsid w:val="160E1484"/>
    <w:rsid w:val="16132722"/>
    <w:rsid w:val="1615164F"/>
    <w:rsid w:val="161D59CC"/>
    <w:rsid w:val="16201E6D"/>
    <w:rsid w:val="1631196C"/>
    <w:rsid w:val="16314DF2"/>
    <w:rsid w:val="163D25E2"/>
    <w:rsid w:val="163E7756"/>
    <w:rsid w:val="164867F1"/>
    <w:rsid w:val="164C6A2E"/>
    <w:rsid w:val="165E5DB7"/>
    <w:rsid w:val="16632E9F"/>
    <w:rsid w:val="166C00C2"/>
    <w:rsid w:val="16710883"/>
    <w:rsid w:val="16735B14"/>
    <w:rsid w:val="16750118"/>
    <w:rsid w:val="16792683"/>
    <w:rsid w:val="168306EC"/>
    <w:rsid w:val="168903CD"/>
    <w:rsid w:val="169927ED"/>
    <w:rsid w:val="169D7848"/>
    <w:rsid w:val="16AA0331"/>
    <w:rsid w:val="16AC14D0"/>
    <w:rsid w:val="16AD3C64"/>
    <w:rsid w:val="16AF6275"/>
    <w:rsid w:val="16B211CE"/>
    <w:rsid w:val="16B75283"/>
    <w:rsid w:val="16C00116"/>
    <w:rsid w:val="16C0582B"/>
    <w:rsid w:val="16C81825"/>
    <w:rsid w:val="16CB6819"/>
    <w:rsid w:val="16CD08A4"/>
    <w:rsid w:val="16D6450B"/>
    <w:rsid w:val="16E271F8"/>
    <w:rsid w:val="16E74434"/>
    <w:rsid w:val="16E86D3E"/>
    <w:rsid w:val="16EE40E3"/>
    <w:rsid w:val="16F1648A"/>
    <w:rsid w:val="16F471C0"/>
    <w:rsid w:val="16F56A31"/>
    <w:rsid w:val="16FC43F0"/>
    <w:rsid w:val="16FD1BD5"/>
    <w:rsid w:val="1705041A"/>
    <w:rsid w:val="17056F1F"/>
    <w:rsid w:val="171E4261"/>
    <w:rsid w:val="17285DA9"/>
    <w:rsid w:val="172A7A52"/>
    <w:rsid w:val="172C344C"/>
    <w:rsid w:val="172C3DD5"/>
    <w:rsid w:val="172F7820"/>
    <w:rsid w:val="17340562"/>
    <w:rsid w:val="173B65C4"/>
    <w:rsid w:val="17413A24"/>
    <w:rsid w:val="174177FF"/>
    <w:rsid w:val="1743179F"/>
    <w:rsid w:val="17475EB9"/>
    <w:rsid w:val="174C4C4E"/>
    <w:rsid w:val="174E2E8C"/>
    <w:rsid w:val="17577717"/>
    <w:rsid w:val="17592F6D"/>
    <w:rsid w:val="175D259E"/>
    <w:rsid w:val="175F4B5F"/>
    <w:rsid w:val="178A4348"/>
    <w:rsid w:val="178A7F4A"/>
    <w:rsid w:val="179862F0"/>
    <w:rsid w:val="17995E10"/>
    <w:rsid w:val="179B4858"/>
    <w:rsid w:val="17A6736B"/>
    <w:rsid w:val="17A70F6E"/>
    <w:rsid w:val="17A84907"/>
    <w:rsid w:val="17B217E7"/>
    <w:rsid w:val="17B73706"/>
    <w:rsid w:val="17BC188D"/>
    <w:rsid w:val="17BD15B8"/>
    <w:rsid w:val="17C46CDB"/>
    <w:rsid w:val="17C47B15"/>
    <w:rsid w:val="17C77138"/>
    <w:rsid w:val="17D45383"/>
    <w:rsid w:val="17D720F8"/>
    <w:rsid w:val="17D95235"/>
    <w:rsid w:val="17E80E0C"/>
    <w:rsid w:val="17EA0C06"/>
    <w:rsid w:val="17F32411"/>
    <w:rsid w:val="17F32F01"/>
    <w:rsid w:val="17FD66B3"/>
    <w:rsid w:val="17FF509C"/>
    <w:rsid w:val="18054616"/>
    <w:rsid w:val="180C3B09"/>
    <w:rsid w:val="180E6352"/>
    <w:rsid w:val="181A26F2"/>
    <w:rsid w:val="181B1D8F"/>
    <w:rsid w:val="181E5312"/>
    <w:rsid w:val="181F4B31"/>
    <w:rsid w:val="1820596B"/>
    <w:rsid w:val="182422AC"/>
    <w:rsid w:val="18276A44"/>
    <w:rsid w:val="182A285F"/>
    <w:rsid w:val="18300DA6"/>
    <w:rsid w:val="18311BCE"/>
    <w:rsid w:val="183420F5"/>
    <w:rsid w:val="183668A0"/>
    <w:rsid w:val="1838431E"/>
    <w:rsid w:val="18386170"/>
    <w:rsid w:val="18403D64"/>
    <w:rsid w:val="1843158B"/>
    <w:rsid w:val="184A773B"/>
    <w:rsid w:val="184E0A3C"/>
    <w:rsid w:val="18540197"/>
    <w:rsid w:val="18557303"/>
    <w:rsid w:val="18692A6F"/>
    <w:rsid w:val="187758B5"/>
    <w:rsid w:val="18783E98"/>
    <w:rsid w:val="187A308B"/>
    <w:rsid w:val="187F2B5A"/>
    <w:rsid w:val="18913BE4"/>
    <w:rsid w:val="18946B24"/>
    <w:rsid w:val="189A4E94"/>
    <w:rsid w:val="189E09FB"/>
    <w:rsid w:val="18A25444"/>
    <w:rsid w:val="18A932C3"/>
    <w:rsid w:val="18AA38BF"/>
    <w:rsid w:val="18AC64B2"/>
    <w:rsid w:val="18AF26DD"/>
    <w:rsid w:val="18B65174"/>
    <w:rsid w:val="18BB5AB7"/>
    <w:rsid w:val="18BC2DD0"/>
    <w:rsid w:val="18C018A5"/>
    <w:rsid w:val="18C042E5"/>
    <w:rsid w:val="18C066FF"/>
    <w:rsid w:val="18CD09A0"/>
    <w:rsid w:val="18CD1900"/>
    <w:rsid w:val="18CD50BA"/>
    <w:rsid w:val="18CE6EED"/>
    <w:rsid w:val="18D24D07"/>
    <w:rsid w:val="18D94055"/>
    <w:rsid w:val="18DE611A"/>
    <w:rsid w:val="18E41D77"/>
    <w:rsid w:val="18E666AB"/>
    <w:rsid w:val="18F25B41"/>
    <w:rsid w:val="18F853DD"/>
    <w:rsid w:val="18FA5A6D"/>
    <w:rsid w:val="18FF3088"/>
    <w:rsid w:val="190C2CCF"/>
    <w:rsid w:val="19176E37"/>
    <w:rsid w:val="191B2FB3"/>
    <w:rsid w:val="191C1D6E"/>
    <w:rsid w:val="191C2C7A"/>
    <w:rsid w:val="192120B1"/>
    <w:rsid w:val="19217965"/>
    <w:rsid w:val="192854F2"/>
    <w:rsid w:val="19293704"/>
    <w:rsid w:val="19331878"/>
    <w:rsid w:val="19337FB7"/>
    <w:rsid w:val="193649A2"/>
    <w:rsid w:val="193724A4"/>
    <w:rsid w:val="19396BBC"/>
    <w:rsid w:val="19430869"/>
    <w:rsid w:val="195C68F6"/>
    <w:rsid w:val="195E1A28"/>
    <w:rsid w:val="196D5077"/>
    <w:rsid w:val="196F4756"/>
    <w:rsid w:val="19765DE2"/>
    <w:rsid w:val="198751C3"/>
    <w:rsid w:val="198951A6"/>
    <w:rsid w:val="198A2850"/>
    <w:rsid w:val="19901A87"/>
    <w:rsid w:val="19AF18AA"/>
    <w:rsid w:val="19B010B2"/>
    <w:rsid w:val="19B233EC"/>
    <w:rsid w:val="19B300CB"/>
    <w:rsid w:val="19B87BF6"/>
    <w:rsid w:val="19BA1DDA"/>
    <w:rsid w:val="19BA31EA"/>
    <w:rsid w:val="19BF2452"/>
    <w:rsid w:val="19C574E2"/>
    <w:rsid w:val="19CF70B3"/>
    <w:rsid w:val="19D93C88"/>
    <w:rsid w:val="19DF74E2"/>
    <w:rsid w:val="19E43909"/>
    <w:rsid w:val="19E73171"/>
    <w:rsid w:val="19E83EB0"/>
    <w:rsid w:val="19ED7D5F"/>
    <w:rsid w:val="19EE4EFC"/>
    <w:rsid w:val="19F4228B"/>
    <w:rsid w:val="19FE778E"/>
    <w:rsid w:val="19FF71B8"/>
    <w:rsid w:val="1A03197E"/>
    <w:rsid w:val="1A0409B1"/>
    <w:rsid w:val="1A1C0C1D"/>
    <w:rsid w:val="1A1D6BE0"/>
    <w:rsid w:val="1A1D7EC9"/>
    <w:rsid w:val="1A275C6A"/>
    <w:rsid w:val="1A2B24DF"/>
    <w:rsid w:val="1A2E7E68"/>
    <w:rsid w:val="1A35281E"/>
    <w:rsid w:val="1A387342"/>
    <w:rsid w:val="1A3A3C44"/>
    <w:rsid w:val="1A4133F0"/>
    <w:rsid w:val="1A4E715D"/>
    <w:rsid w:val="1A5C5229"/>
    <w:rsid w:val="1A633312"/>
    <w:rsid w:val="1A691041"/>
    <w:rsid w:val="1A6C59DF"/>
    <w:rsid w:val="1A711F10"/>
    <w:rsid w:val="1A7251F8"/>
    <w:rsid w:val="1A725CAA"/>
    <w:rsid w:val="1A796949"/>
    <w:rsid w:val="1A8306ED"/>
    <w:rsid w:val="1A856E4D"/>
    <w:rsid w:val="1A8777C3"/>
    <w:rsid w:val="1A896163"/>
    <w:rsid w:val="1A8C0100"/>
    <w:rsid w:val="1A8C0463"/>
    <w:rsid w:val="1A907197"/>
    <w:rsid w:val="1A997FC6"/>
    <w:rsid w:val="1AA76EAC"/>
    <w:rsid w:val="1AA912D2"/>
    <w:rsid w:val="1AA95CFB"/>
    <w:rsid w:val="1AB26AE6"/>
    <w:rsid w:val="1AB35B0B"/>
    <w:rsid w:val="1AB83FC8"/>
    <w:rsid w:val="1AC60D3C"/>
    <w:rsid w:val="1AD25FA5"/>
    <w:rsid w:val="1AD26418"/>
    <w:rsid w:val="1AD64959"/>
    <w:rsid w:val="1ADE224C"/>
    <w:rsid w:val="1AE07CDB"/>
    <w:rsid w:val="1AE85F18"/>
    <w:rsid w:val="1AEC390D"/>
    <w:rsid w:val="1AF266FD"/>
    <w:rsid w:val="1AFC1B87"/>
    <w:rsid w:val="1B033D72"/>
    <w:rsid w:val="1B0B53FB"/>
    <w:rsid w:val="1B0F04FE"/>
    <w:rsid w:val="1B131123"/>
    <w:rsid w:val="1B1530FF"/>
    <w:rsid w:val="1B1668C3"/>
    <w:rsid w:val="1B201BF3"/>
    <w:rsid w:val="1B22274D"/>
    <w:rsid w:val="1B233ED4"/>
    <w:rsid w:val="1B2C69B6"/>
    <w:rsid w:val="1B346F97"/>
    <w:rsid w:val="1B35104F"/>
    <w:rsid w:val="1B3D79B2"/>
    <w:rsid w:val="1B461AFE"/>
    <w:rsid w:val="1B480C06"/>
    <w:rsid w:val="1B4B3C10"/>
    <w:rsid w:val="1B5050A3"/>
    <w:rsid w:val="1B507B57"/>
    <w:rsid w:val="1B514618"/>
    <w:rsid w:val="1B515EE6"/>
    <w:rsid w:val="1B565FB5"/>
    <w:rsid w:val="1B60543F"/>
    <w:rsid w:val="1B632CF8"/>
    <w:rsid w:val="1B644A00"/>
    <w:rsid w:val="1B6C540C"/>
    <w:rsid w:val="1B7E0A19"/>
    <w:rsid w:val="1B863FC4"/>
    <w:rsid w:val="1B867FA1"/>
    <w:rsid w:val="1B8A27E3"/>
    <w:rsid w:val="1B8F7D1E"/>
    <w:rsid w:val="1B994EFA"/>
    <w:rsid w:val="1BA07D8B"/>
    <w:rsid w:val="1BA1301A"/>
    <w:rsid w:val="1BA40BFB"/>
    <w:rsid w:val="1BA52DD8"/>
    <w:rsid w:val="1BAB2896"/>
    <w:rsid w:val="1BB65D00"/>
    <w:rsid w:val="1BBE0189"/>
    <w:rsid w:val="1BC33C3A"/>
    <w:rsid w:val="1BC37998"/>
    <w:rsid w:val="1BC446DE"/>
    <w:rsid w:val="1BC856B0"/>
    <w:rsid w:val="1BDF5D1C"/>
    <w:rsid w:val="1BF16EED"/>
    <w:rsid w:val="1BF874C7"/>
    <w:rsid w:val="1BFA0258"/>
    <w:rsid w:val="1BFE6261"/>
    <w:rsid w:val="1C007798"/>
    <w:rsid w:val="1C0450A9"/>
    <w:rsid w:val="1C0C400C"/>
    <w:rsid w:val="1C0D146B"/>
    <w:rsid w:val="1C1620D0"/>
    <w:rsid w:val="1C1F1330"/>
    <w:rsid w:val="1C226A0C"/>
    <w:rsid w:val="1C276C6E"/>
    <w:rsid w:val="1C282FA4"/>
    <w:rsid w:val="1C383519"/>
    <w:rsid w:val="1C3E4257"/>
    <w:rsid w:val="1C402AF7"/>
    <w:rsid w:val="1C491B04"/>
    <w:rsid w:val="1C4956C3"/>
    <w:rsid w:val="1C4B6F77"/>
    <w:rsid w:val="1C4D47CC"/>
    <w:rsid w:val="1C4F2AFB"/>
    <w:rsid w:val="1C532125"/>
    <w:rsid w:val="1C643716"/>
    <w:rsid w:val="1C68343D"/>
    <w:rsid w:val="1C740581"/>
    <w:rsid w:val="1C793C09"/>
    <w:rsid w:val="1C795CCD"/>
    <w:rsid w:val="1C7A153F"/>
    <w:rsid w:val="1C7F6DF3"/>
    <w:rsid w:val="1C816A3C"/>
    <w:rsid w:val="1C834A0B"/>
    <w:rsid w:val="1C862426"/>
    <w:rsid w:val="1C8C3533"/>
    <w:rsid w:val="1C8F204C"/>
    <w:rsid w:val="1C9076A4"/>
    <w:rsid w:val="1C94311C"/>
    <w:rsid w:val="1C96650B"/>
    <w:rsid w:val="1C976A09"/>
    <w:rsid w:val="1C9A0360"/>
    <w:rsid w:val="1C9C3324"/>
    <w:rsid w:val="1C9C56DA"/>
    <w:rsid w:val="1CA918FE"/>
    <w:rsid w:val="1CB576F8"/>
    <w:rsid w:val="1CC423B3"/>
    <w:rsid w:val="1CD613FE"/>
    <w:rsid w:val="1CDA6550"/>
    <w:rsid w:val="1CE16BFA"/>
    <w:rsid w:val="1CE23A53"/>
    <w:rsid w:val="1CEF7482"/>
    <w:rsid w:val="1CF14A28"/>
    <w:rsid w:val="1CF51212"/>
    <w:rsid w:val="1D002E33"/>
    <w:rsid w:val="1D0104BF"/>
    <w:rsid w:val="1D027C2C"/>
    <w:rsid w:val="1D0330EB"/>
    <w:rsid w:val="1D0923F8"/>
    <w:rsid w:val="1D0B36E9"/>
    <w:rsid w:val="1D0D5111"/>
    <w:rsid w:val="1D197541"/>
    <w:rsid w:val="1D1B1BB8"/>
    <w:rsid w:val="1D1C403E"/>
    <w:rsid w:val="1D257F75"/>
    <w:rsid w:val="1D26306F"/>
    <w:rsid w:val="1D2D0B72"/>
    <w:rsid w:val="1D2E6B68"/>
    <w:rsid w:val="1D3366D6"/>
    <w:rsid w:val="1D351E08"/>
    <w:rsid w:val="1D3D712E"/>
    <w:rsid w:val="1D445433"/>
    <w:rsid w:val="1D453684"/>
    <w:rsid w:val="1D453D95"/>
    <w:rsid w:val="1D46017A"/>
    <w:rsid w:val="1D48548E"/>
    <w:rsid w:val="1D5459C1"/>
    <w:rsid w:val="1D566260"/>
    <w:rsid w:val="1D592387"/>
    <w:rsid w:val="1D5949D5"/>
    <w:rsid w:val="1D5A3C34"/>
    <w:rsid w:val="1D62292A"/>
    <w:rsid w:val="1D6543B7"/>
    <w:rsid w:val="1D6727D6"/>
    <w:rsid w:val="1D74439D"/>
    <w:rsid w:val="1D751ED1"/>
    <w:rsid w:val="1D7B54DF"/>
    <w:rsid w:val="1D8867DB"/>
    <w:rsid w:val="1D914AA6"/>
    <w:rsid w:val="1D9714BE"/>
    <w:rsid w:val="1D9A31E5"/>
    <w:rsid w:val="1D9B12B8"/>
    <w:rsid w:val="1D9F1F32"/>
    <w:rsid w:val="1DA375C8"/>
    <w:rsid w:val="1DA430D0"/>
    <w:rsid w:val="1DA50EC4"/>
    <w:rsid w:val="1DA879B8"/>
    <w:rsid w:val="1DA95A17"/>
    <w:rsid w:val="1DB50D2D"/>
    <w:rsid w:val="1DC52355"/>
    <w:rsid w:val="1DCA651A"/>
    <w:rsid w:val="1DCE1EFD"/>
    <w:rsid w:val="1DD16FF4"/>
    <w:rsid w:val="1DD41882"/>
    <w:rsid w:val="1DD74972"/>
    <w:rsid w:val="1DE12CA8"/>
    <w:rsid w:val="1DEF0743"/>
    <w:rsid w:val="1DF63651"/>
    <w:rsid w:val="1DFD656B"/>
    <w:rsid w:val="1E045288"/>
    <w:rsid w:val="1E087431"/>
    <w:rsid w:val="1E0D5783"/>
    <w:rsid w:val="1E101D1B"/>
    <w:rsid w:val="1E246D53"/>
    <w:rsid w:val="1E2A5C78"/>
    <w:rsid w:val="1E3074DF"/>
    <w:rsid w:val="1E340318"/>
    <w:rsid w:val="1E347212"/>
    <w:rsid w:val="1E347774"/>
    <w:rsid w:val="1E384B99"/>
    <w:rsid w:val="1E3E7572"/>
    <w:rsid w:val="1E3F6B70"/>
    <w:rsid w:val="1E586088"/>
    <w:rsid w:val="1E607527"/>
    <w:rsid w:val="1E623708"/>
    <w:rsid w:val="1E625ABC"/>
    <w:rsid w:val="1E6644E6"/>
    <w:rsid w:val="1E6A4200"/>
    <w:rsid w:val="1E6B3481"/>
    <w:rsid w:val="1E6D797E"/>
    <w:rsid w:val="1E6E0D27"/>
    <w:rsid w:val="1E743267"/>
    <w:rsid w:val="1E7B7D05"/>
    <w:rsid w:val="1E8159E8"/>
    <w:rsid w:val="1E8B1BC6"/>
    <w:rsid w:val="1E9F5E64"/>
    <w:rsid w:val="1EA02814"/>
    <w:rsid w:val="1ECB1E25"/>
    <w:rsid w:val="1ECB40D2"/>
    <w:rsid w:val="1ECE1E3A"/>
    <w:rsid w:val="1ED144AC"/>
    <w:rsid w:val="1ED52E16"/>
    <w:rsid w:val="1ED65260"/>
    <w:rsid w:val="1EDE26E6"/>
    <w:rsid w:val="1EE43963"/>
    <w:rsid w:val="1EEC6405"/>
    <w:rsid w:val="1EF10217"/>
    <w:rsid w:val="1EF139BF"/>
    <w:rsid w:val="1EFF43BD"/>
    <w:rsid w:val="1F04421F"/>
    <w:rsid w:val="1F1339FF"/>
    <w:rsid w:val="1F170A07"/>
    <w:rsid w:val="1F1821BE"/>
    <w:rsid w:val="1F2212AF"/>
    <w:rsid w:val="1F280AFF"/>
    <w:rsid w:val="1F2964D2"/>
    <w:rsid w:val="1F311B59"/>
    <w:rsid w:val="1F367001"/>
    <w:rsid w:val="1F491972"/>
    <w:rsid w:val="1F4F631E"/>
    <w:rsid w:val="1F5546C2"/>
    <w:rsid w:val="1F5A5C1F"/>
    <w:rsid w:val="1F6A1488"/>
    <w:rsid w:val="1F76576F"/>
    <w:rsid w:val="1F782B1C"/>
    <w:rsid w:val="1F7846DC"/>
    <w:rsid w:val="1F7C4664"/>
    <w:rsid w:val="1F84183B"/>
    <w:rsid w:val="1F85619C"/>
    <w:rsid w:val="1F8C12D6"/>
    <w:rsid w:val="1FA81B99"/>
    <w:rsid w:val="1FA95541"/>
    <w:rsid w:val="1FAB063B"/>
    <w:rsid w:val="1FBA1414"/>
    <w:rsid w:val="1FBB0148"/>
    <w:rsid w:val="1FBF5BB2"/>
    <w:rsid w:val="1FC70C9E"/>
    <w:rsid w:val="1FCB3D49"/>
    <w:rsid w:val="1FCC4BE6"/>
    <w:rsid w:val="1FD60A02"/>
    <w:rsid w:val="1FE27733"/>
    <w:rsid w:val="1FE9052B"/>
    <w:rsid w:val="1FE91329"/>
    <w:rsid w:val="1FEC4239"/>
    <w:rsid w:val="1FEE4225"/>
    <w:rsid w:val="1FF417E2"/>
    <w:rsid w:val="1FF65319"/>
    <w:rsid w:val="1FFA6170"/>
    <w:rsid w:val="20053BA9"/>
    <w:rsid w:val="20070B58"/>
    <w:rsid w:val="200B416D"/>
    <w:rsid w:val="200F3388"/>
    <w:rsid w:val="2011292A"/>
    <w:rsid w:val="20132029"/>
    <w:rsid w:val="201A1FA5"/>
    <w:rsid w:val="201C01A9"/>
    <w:rsid w:val="20231DED"/>
    <w:rsid w:val="202F579D"/>
    <w:rsid w:val="2034691E"/>
    <w:rsid w:val="20377D72"/>
    <w:rsid w:val="203D5FD3"/>
    <w:rsid w:val="203E1E44"/>
    <w:rsid w:val="204C1E8E"/>
    <w:rsid w:val="204E308A"/>
    <w:rsid w:val="204F309C"/>
    <w:rsid w:val="20540542"/>
    <w:rsid w:val="205619FE"/>
    <w:rsid w:val="205B3BF9"/>
    <w:rsid w:val="20605767"/>
    <w:rsid w:val="20696E49"/>
    <w:rsid w:val="206B1481"/>
    <w:rsid w:val="206B3CE2"/>
    <w:rsid w:val="206D66C3"/>
    <w:rsid w:val="20707115"/>
    <w:rsid w:val="20726AFB"/>
    <w:rsid w:val="207515D6"/>
    <w:rsid w:val="20754854"/>
    <w:rsid w:val="207B63C2"/>
    <w:rsid w:val="208B4908"/>
    <w:rsid w:val="208F58AE"/>
    <w:rsid w:val="20923EB3"/>
    <w:rsid w:val="209411F8"/>
    <w:rsid w:val="209F5676"/>
    <w:rsid w:val="20A4166E"/>
    <w:rsid w:val="20A771B0"/>
    <w:rsid w:val="20AE596D"/>
    <w:rsid w:val="20B74027"/>
    <w:rsid w:val="20B759AB"/>
    <w:rsid w:val="20B90A79"/>
    <w:rsid w:val="20BC6C8D"/>
    <w:rsid w:val="20CA603C"/>
    <w:rsid w:val="20CC1715"/>
    <w:rsid w:val="20CE2143"/>
    <w:rsid w:val="20D21863"/>
    <w:rsid w:val="20DB3254"/>
    <w:rsid w:val="20DC4A46"/>
    <w:rsid w:val="20E17B2D"/>
    <w:rsid w:val="20E41DCC"/>
    <w:rsid w:val="20EB2810"/>
    <w:rsid w:val="20EB4167"/>
    <w:rsid w:val="20F17FB7"/>
    <w:rsid w:val="20F24853"/>
    <w:rsid w:val="21077EDF"/>
    <w:rsid w:val="21126473"/>
    <w:rsid w:val="21182D6C"/>
    <w:rsid w:val="211A458F"/>
    <w:rsid w:val="212D001A"/>
    <w:rsid w:val="213B655C"/>
    <w:rsid w:val="213E5E94"/>
    <w:rsid w:val="213E6634"/>
    <w:rsid w:val="2140194E"/>
    <w:rsid w:val="21440320"/>
    <w:rsid w:val="214965E9"/>
    <w:rsid w:val="214D5965"/>
    <w:rsid w:val="215267F9"/>
    <w:rsid w:val="21561E44"/>
    <w:rsid w:val="21585708"/>
    <w:rsid w:val="21644F31"/>
    <w:rsid w:val="21656A6F"/>
    <w:rsid w:val="21683262"/>
    <w:rsid w:val="216B64D9"/>
    <w:rsid w:val="21720506"/>
    <w:rsid w:val="21786E87"/>
    <w:rsid w:val="217931E8"/>
    <w:rsid w:val="217972E5"/>
    <w:rsid w:val="217B1FE4"/>
    <w:rsid w:val="217F1046"/>
    <w:rsid w:val="21865A85"/>
    <w:rsid w:val="218A462F"/>
    <w:rsid w:val="218C4C45"/>
    <w:rsid w:val="21A606AA"/>
    <w:rsid w:val="21A65434"/>
    <w:rsid w:val="21A776AF"/>
    <w:rsid w:val="21AE4F3D"/>
    <w:rsid w:val="21D2450B"/>
    <w:rsid w:val="21D52080"/>
    <w:rsid w:val="21E347E0"/>
    <w:rsid w:val="21ED4096"/>
    <w:rsid w:val="21EF4537"/>
    <w:rsid w:val="21F00F67"/>
    <w:rsid w:val="21F32B72"/>
    <w:rsid w:val="21F6345B"/>
    <w:rsid w:val="22076180"/>
    <w:rsid w:val="22091044"/>
    <w:rsid w:val="221D78F3"/>
    <w:rsid w:val="221E5D17"/>
    <w:rsid w:val="22272312"/>
    <w:rsid w:val="2229345B"/>
    <w:rsid w:val="222979C5"/>
    <w:rsid w:val="22343541"/>
    <w:rsid w:val="22374067"/>
    <w:rsid w:val="223B13F2"/>
    <w:rsid w:val="223B6A62"/>
    <w:rsid w:val="225A0C26"/>
    <w:rsid w:val="22636C07"/>
    <w:rsid w:val="22847C1A"/>
    <w:rsid w:val="228D10A8"/>
    <w:rsid w:val="229418BF"/>
    <w:rsid w:val="22947E66"/>
    <w:rsid w:val="229651E4"/>
    <w:rsid w:val="229C2488"/>
    <w:rsid w:val="22A9009C"/>
    <w:rsid w:val="22AB7AC2"/>
    <w:rsid w:val="22B469B2"/>
    <w:rsid w:val="22B51467"/>
    <w:rsid w:val="22CD0468"/>
    <w:rsid w:val="22D31038"/>
    <w:rsid w:val="22D53E11"/>
    <w:rsid w:val="22E441FF"/>
    <w:rsid w:val="22EB7A69"/>
    <w:rsid w:val="22ED4C21"/>
    <w:rsid w:val="22F372D4"/>
    <w:rsid w:val="22F524F7"/>
    <w:rsid w:val="22F634DB"/>
    <w:rsid w:val="23016D89"/>
    <w:rsid w:val="230E502C"/>
    <w:rsid w:val="23115F87"/>
    <w:rsid w:val="2313292F"/>
    <w:rsid w:val="23156C99"/>
    <w:rsid w:val="232000DA"/>
    <w:rsid w:val="23241AE9"/>
    <w:rsid w:val="23242571"/>
    <w:rsid w:val="2326353C"/>
    <w:rsid w:val="23270374"/>
    <w:rsid w:val="23281F3F"/>
    <w:rsid w:val="232B6715"/>
    <w:rsid w:val="232D5A8A"/>
    <w:rsid w:val="232E762F"/>
    <w:rsid w:val="232F1F3E"/>
    <w:rsid w:val="23311AB2"/>
    <w:rsid w:val="234879F6"/>
    <w:rsid w:val="23504B19"/>
    <w:rsid w:val="235A077B"/>
    <w:rsid w:val="235C72D8"/>
    <w:rsid w:val="235F4E93"/>
    <w:rsid w:val="237E4CC8"/>
    <w:rsid w:val="23837B93"/>
    <w:rsid w:val="23882BC7"/>
    <w:rsid w:val="239357F9"/>
    <w:rsid w:val="2394408C"/>
    <w:rsid w:val="23955C07"/>
    <w:rsid w:val="239E2BC2"/>
    <w:rsid w:val="23A32E6B"/>
    <w:rsid w:val="23A5237E"/>
    <w:rsid w:val="23A67DE6"/>
    <w:rsid w:val="23A90623"/>
    <w:rsid w:val="23B07918"/>
    <w:rsid w:val="23B6556C"/>
    <w:rsid w:val="23B77ABF"/>
    <w:rsid w:val="23BC493E"/>
    <w:rsid w:val="23C14AF7"/>
    <w:rsid w:val="23CE5891"/>
    <w:rsid w:val="23D12E6B"/>
    <w:rsid w:val="23D5611F"/>
    <w:rsid w:val="23D61F41"/>
    <w:rsid w:val="23DC5330"/>
    <w:rsid w:val="23E819EE"/>
    <w:rsid w:val="23F06C6E"/>
    <w:rsid w:val="23F41C4E"/>
    <w:rsid w:val="23F46E1B"/>
    <w:rsid w:val="24014249"/>
    <w:rsid w:val="24014F79"/>
    <w:rsid w:val="24017E07"/>
    <w:rsid w:val="24063C2A"/>
    <w:rsid w:val="24117156"/>
    <w:rsid w:val="241F4C5C"/>
    <w:rsid w:val="24224EF1"/>
    <w:rsid w:val="242B2075"/>
    <w:rsid w:val="24330306"/>
    <w:rsid w:val="243B00E3"/>
    <w:rsid w:val="244A43FE"/>
    <w:rsid w:val="24507B39"/>
    <w:rsid w:val="24547F01"/>
    <w:rsid w:val="2456627A"/>
    <w:rsid w:val="245F7E21"/>
    <w:rsid w:val="2474713B"/>
    <w:rsid w:val="2477153F"/>
    <w:rsid w:val="247B5F13"/>
    <w:rsid w:val="247C21E2"/>
    <w:rsid w:val="247D1E9E"/>
    <w:rsid w:val="24817A23"/>
    <w:rsid w:val="24895EDF"/>
    <w:rsid w:val="24912865"/>
    <w:rsid w:val="24913480"/>
    <w:rsid w:val="24936526"/>
    <w:rsid w:val="249405BB"/>
    <w:rsid w:val="249E5FEC"/>
    <w:rsid w:val="249F670E"/>
    <w:rsid w:val="249F75BF"/>
    <w:rsid w:val="24A234AD"/>
    <w:rsid w:val="24A85128"/>
    <w:rsid w:val="24B014C3"/>
    <w:rsid w:val="24B541B0"/>
    <w:rsid w:val="24B6416E"/>
    <w:rsid w:val="24B923FD"/>
    <w:rsid w:val="24BA50B1"/>
    <w:rsid w:val="24CA4C9E"/>
    <w:rsid w:val="24CA6C0C"/>
    <w:rsid w:val="24DF00EF"/>
    <w:rsid w:val="24E20023"/>
    <w:rsid w:val="24E348E3"/>
    <w:rsid w:val="24F15519"/>
    <w:rsid w:val="24F64D53"/>
    <w:rsid w:val="25044EC8"/>
    <w:rsid w:val="25090975"/>
    <w:rsid w:val="250D4262"/>
    <w:rsid w:val="25135268"/>
    <w:rsid w:val="251F48C3"/>
    <w:rsid w:val="252A1AEE"/>
    <w:rsid w:val="252A64E9"/>
    <w:rsid w:val="25344A92"/>
    <w:rsid w:val="25347132"/>
    <w:rsid w:val="25363FEC"/>
    <w:rsid w:val="25413531"/>
    <w:rsid w:val="25484A4F"/>
    <w:rsid w:val="254B01A3"/>
    <w:rsid w:val="254F63AD"/>
    <w:rsid w:val="25527146"/>
    <w:rsid w:val="25542C2B"/>
    <w:rsid w:val="25621704"/>
    <w:rsid w:val="25700D61"/>
    <w:rsid w:val="25794E3B"/>
    <w:rsid w:val="257D6A9E"/>
    <w:rsid w:val="25864A77"/>
    <w:rsid w:val="25913128"/>
    <w:rsid w:val="25986C76"/>
    <w:rsid w:val="259A33C9"/>
    <w:rsid w:val="259E5167"/>
    <w:rsid w:val="25B21BAF"/>
    <w:rsid w:val="25B33565"/>
    <w:rsid w:val="25B61ED0"/>
    <w:rsid w:val="25B97D89"/>
    <w:rsid w:val="25C21102"/>
    <w:rsid w:val="25C65ADC"/>
    <w:rsid w:val="25CE2B39"/>
    <w:rsid w:val="25CF1458"/>
    <w:rsid w:val="25D90644"/>
    <w:rsid w:val="25E343FA"/>
    <w:rsid w:val="25E40D3A"/>
    <w:rsid w:val="25E4534A"/>
    <w:rsid w:val="25E64398"/>
    <w:rsid w:val="25F55A2C"/>
    <w:rsid w:val="25F61EE2"/>
    <w:rsid w:val="260235C7"/>
    <w:rsid w:val="26082387"/>
    <w:rsid w:val="260E72E9"/>
    <w:rsid w:val="26137693"/>
    <w:rsid w:val="26171802"/>
    <w:rsid w:val="26204B01"/>
    <w:rsid w:val="262858C9"/>
    <w:rsid w:val="2631360F"/>
    <w:rsid w:val="263169A5"/>
    <w:rsid w:val="26326702"/>
    <w:rsid w:val="263740A3"/>
    <w:rsid w:val="263913EE"/>
    <w:rsid w:val="26397808"/>
    <w:rsid w:val="263A2BE6"/>
    <w:rsid w:val="26467615"/>
    <w:rsid w:val="264B5120"/>
    <w:rsid w:val="264D7AC3"/>
    <w:rsid w:val="264F1ED9"/>
    <w:rsid w:val="26576C6E"/>
    <w:rsid w:val="265E26DA"/>
    <w:rsid w:val="266379D6"/>
    <w:rsid w:val="26655EC4"/>
    <w:rsid w:val="26670E60"/>
    <w:rsid w:val="2668044D"/>
    <w:rsid w:val="267718D9"/>
    <w:rsid w:val="26777874"/>
    <w:rsid w:val="267A52D4"/>
    <w:rsid w:val="267C0D10"/>
    <w:rsid w:val="267D0D2B"/>
    <w:rsid w:val="267F7978"/>
    <w:rsid w:val="26822262"/>
    <w:rsid w:val="26852E25"/>
    <w:rsid w:val="2690150F"/>
    <w:rsid w:val="269636CC"/>
    <w:rsid w:val="269B139D"/>
    <w:rsid w:val="269F1239"/>
    <w:rsid w:val="26A1101B"/>
    <w:rsid w:val="26A166AF"/>
    <w:rsid w:val="26A32BAF"/>
    <w:rsid w:val="26A754C5"/>
    <w:rsid w:val="26AE437B"/>
    <w:rsid w:val="26C43A71"/>
    <w:rsid w:val="26C80A72"/>
    <w:rsid w:val="26D97A1B"/>
    <w:rsid w:val="26DC4B7A"/>
    <w:rsid w:val="26DD71D8"/>
    <w:rsid w:val="26F86E12"/>
    <w:rsid w:val="26FB5954"/>
    <w:rsid w:val="270A7E21"/>
    <w:rsid w:val="270C13E8"/>
    <w:rsid w:val="2717500D"/>
    <w:rsid w:val="271A75F7"/>
    <w:rsid w:val="271B4205"/>
    <w:rsid w:val="27224336"/>
    <w:rsid w:val="27255994"/>
    <w:rsid w:val="27285D46"/>
    <w:rsid w:val="2729662E"/>
    <w:rsid w:val="273C6E7E"/>
    <w:rsid w:val="2741235B"/>
    <w:rsid w:val="27446BEA"/>
    <w:rsid w:val="27446E8C"/>
    <w:rsid w:val="27461617"/>
    <w:rsid w:val="27461A40"/>
    <w:rsid w:val="274F02AD"/>
    <w:rsid w:val="27631F64"/>
    <w:rsid w:val="27632678"/>
    <w:rsid w:val="276344C3"/>
    <w:rsid w:val="276A55EE"/>
    <w:rsid w:val="276C19B5"/>
    <w:rsid w:val="277456B7"/>
    <w:rsid w:val="277503A8"/>
    <w:rsid w:val="27774627"/>
    <w:rsid w:val="278133B0"/>
    <w:rsid w:val="27877AE0"/>
    <w:rsid w:val="278B3038"/>
    <w:rsid w:val="27910C70"/>
    <w:rsid w:val="27931CB2"/>
    <w:rsid w:val="279C59B3"/>
    <w:rsid w:val="27A07643"/>
    <w:rsid w:val="27A44A32"/>
    <w:rsid w:val="27A56755"/>
    <w:rsid w:val="27AB0C3B"/>
    <w:rsid w:val="27AB142D"/>
    <w:rsid w:val="27C135E7"/>
    <w:rsid w:val="27C14E60"/>
    <w:rsid w:val="27CC2E8D"/>
    <w:rsid w:val="27DB4636"/>
    <w:rsid w:val="27E009AF"/>
    <w:rsid w:val="27E72A03"/>
    <w:rsid w:val="27E739D1"/>
    <w:rsid w:val="27E93330"/>
    <w:rsid w:val="27EC18FC"/>
    <w:rsid w:val="27EC6131"/>
    <w:rsid w:val="27F07ECC"/>
    <w:rsid w:val="27FA5955"/>
    <w:rsid w:val="27FD093D"/>
    <w:rsid w:val="27FF6FD7"/>
    <w:rsid w:val="281C1A56"/>
    <w:rsid w:val="281E7911"/>
    <w:rsid w:val="2828577D"/>
    <w:rsid w:val="282C056F"/>
    <w:rsid w:val="282F62FA"/>
    <w:rsid w:val="283C321D"/>
    <w:rsid w:val="283C7FFA"/>
    <w:rsid w:val="28411A29"/>
    <w:rsid w:val="284E2B64"/>
    <w:rsid w:val="28556B47"/>
    <w:rsid w:val="28563DA3"/>
    <w:rsid w:val="28656E04"/>
    <w:rsid w:val="28667C09"/>
    <w:rsid w:val="28682828"/>
    <w:rsid w:val="286933AC"/>
    <w:rsid w:val="28770552"/>
    <w:rsid w:val="28824BC2"/>
    <w:rsid w:val="288C3079"/>
    <w:rsid w:val="288F2DEE"/>
    <w:rsid w:val="289D139B"/>
    <w:rsid w:val="28A17454"/>
    <w:rsid w:val="28A84560"/>
    <w:rsid w:val="28B76FEA"/>
    <w:rsid w:val="28B92CA4"/>
    <w:rsid w:val="28BB6136"/>
    <w:rsid w:val="28C17522"/>
    <w:rsid w:val="28C600D0"/>
    <w:rsid w:val="28CC436E"/>
    <w:rsid w:val="28D33C9C"/>
    <w:rsid w:val="28D64766"/>
    <w:rsid w:val="28E354F7"/>
    <w:rsid w:val="28EB1894"/>
    <w:rsid w:val="28ED3933"/>
    <w:rsid w:val="28ED6CC1"/>
    <w:rsid w:val="28F50FC3"/>
    <w:rsid w:val="290B6697"/>
    <w:rsid w:val="290F16A6"/>
    <w:rsid w:val="291E3F1F"/>
    <w:rsid w:val="292145FD"/>
    <w:rsid w:val="29230445"/>
    <w:rsid w:val="292701B5"/>
    <w:rsid w:val="29292F5C"/>
    <w:rsid w:val="292D35C6"/>
    <w:rsid w:val="292F6A77"/>
    <w:rsid w:val="29326C9C"/>
    <w:rsid w:val="29391F52"/>
    <w:rsid w:val="29457FED"/>
    <w:rsid w:val="29492652"/>
    <w:rsid w:val="29561745"/>
    <w:rsid w:val="295F52F4"/>
    <w:rsid w:val="296E05EC"/>
    <w:rsid w:val="297022AB"/>
    <w:rsid w:val="2971247D"/>
    <w:rsid w:val="29792B88"/>
    <w:rsid w:val="297A4E6F"/>
    <w:rsid w:val="29824F67"/>
    <w:rsid w:val="29872DEA"/>
    <w:rsid w:val="2997301A"/>
    <w:rsid w:val="2998733E"/>
    <w:rsid w:val="299917CC"/>
    <w:rsid w:val="299C13C9"/>
    <w:rsid w:val="29A043A6"/>
    <w:rsid w:val="29A47AA8"/>
    <w:rsid w:val="29A87B12"/>
    <w:rsid w:val="29B120D1"/>
    <w:rsid w:val="29BB6961"/>
    <w:rsid w:val="29D52E30"/>
    <w:rsid w:val="29D6416C"/>
    <w:rsid w:val="29D91DA0"/>
    <w:rsid w:val="29DC23F5"/>
    <w:rsid w:val="29E55210"/>
    <w:rsid w:val="29E94F22"/>
    <w:rsid w:val="29EB214E"/>
    <w:rsid w:val="29F044B6"/>
    <w:rsid w:val="29F14852"/>
    <w:rsid w:val="29F444B1"/>
    <w:rsid w:val="29F960BA"/>
    <w:rsid w:val="29FC1B3A"/>
    <w:rsid w:val="2A0D079B"/>
    <w:rsid w:val="2A2665E5"/>
    <w:rsid w:val="2A300184"/>
    <w:rsid w:val="2A304A82"/>
    <w:rsid w:val="2A343590"/>
    <w:rsid w:val="2A366BE7"/>
    <w:rsid w:val="2A3879D4"/>
    <w:rsid w:val="2A396234"/>
    <w:rsid w:val="2A3F2B6B"/>
    <w:rsid w:val="2A4B2DC3"/>
    <w:rsid w:val="2A6C748E"/>
    <w:rsid w:val="2A6F5F9C"/>
    <w:rsid w:val="2A7228B2"/>
    <w:rsid w:val="2A7D42F0"/>
    <w:rsid w:val="2A7E7584"/>
    <w:rsid w:val="2A7E7B2D"/>
    <w:rsid w:val="2A8C22DA"/>
    <w:rsid w:val="2A944DC2"/>
    <w:rsid w:val="2A9A2C92"/>
    <w:rsid w:val="2A9E5B47"/>
    <w:rsid w:val="2AAF4E8E"/>
    <w:rsid w:val="2AB01988"/>
    <w:rsid w:val="2AB94B79"/>
    <w:rsid w:val="2ABD1BA5"/>
    <w:rsid w:val="2AC34E3B"/>
    <w:rsid w:val="2ACB3B4E"/>
    <w:rsid w:val="2ACF128B"/>
    <w:rsid w:val="2AD11EA9"/>
    <w:rsid w:val="2AD15F64"/>
    <w:rsid w:val="2AD25FBA"/>
    <w:rsid w:val="2ADF7F8F"/>
    <w:rsid w:val="2AE255BC"/>
    <w:rsid w:val="2AEF0DCE"/>
    <w:rsid w:val="2AFA696C"/>
    <w:rsid w:val="2AFC3AF5"/>
    <w:rsid w:val="2B000708"/>
    <w:rsid w:val="2B0022F4"/>
    <w:rsid w:val="2B0611EA"/>
    <w:rsid w:val="2B0B76FE"/>
    <w:rsid w:val="2B0F437F"/>
    <w:rsid w:val="2B197F85"/>
    <w:rsid w:val="2B1A62D1"/>
    <w:rsid w:val="2B1C6B78"/>
    <w:rsid w:val="2B204062"/>
    <w:rsid w:val="2B317125"/>
    <w:rsid w:val="2B327348"/>
    <w:rsid w:val="2B39696E"/>
    <w:rsid w:val="2B3C2587"/>
    <w:rsid w:val="2B4048DC"/>
    <w:rsid w:val="2B462AA8"/>
    <w:rsid w:val="2B57055D"/>
    <w:rsid w:val="2B57324E"/>
    <w:rsid w:val="2B5A144D"/>
    <w:rsid w:val="2B743891"/>
    <w:rsid w:val="2B797375"/>
    <w:rsid w:val="2B7C1382"/>
    <w:rsid w:val="2B831F18"/>
    <w:rsid w:val="2B857935"/>
    <w:rsid w:val="2B87072A"/>
    <w:rsid w:val="2B880BDA"/>
    <w:rsid w:val="2B912FCE"/>
    <w:rsid w:val="2B971D11"/>
    <w:rsid w:val="2B9B2C10"/>
    <w:rsid w:val="2B9C442F"/>
    <w:rsid w:val="2B9C51D6"/>
    <w:rsid w:val="2BA702C0"/>
    <w:rsid w:val="2BA96C91"/>
    <w:rsid w:val="2BAD5B1E"/>
    <w:rsid w:val="2BB1274D"/>
    <w:rsid w:val="2BB3391B"/>
    <w:rsid w:val="2BB37802"/>
    <w:rsid w:val="2BB871B7"/>
    <w:rsid w:val="2BC47919"/>
    <w:rsid w:val="2BC7733E"/>
    <w:rsid w:val="2BC8077D"/>
    <w:rsid w:val="2BCC10CC"/>
    <w:rsid w:val="2BD04190"/>
    <w:rsid w:val="2BD25537"/>
    <w:rsid w:val="2BE35732"/>
    <w:rsid w:val="2BF20DA4"/>
    <w:rsid w:val="2BFB4540"/>
    <w:rsid w:val="2BFB65F5"/>
    <w:rsid w:val="2BFB76A4"/>
    <w:rsid w:val="2BFE524A"/>
    <w:rsid w:val="2C076C5D"/>
    <w:rsid w:val="2C13377A"/>
    <w:rsid w:val="2C171E10"/>
    <w:rsid w:val="2C2A486D"/>
    <w:rsid w:val="2C2B3376"/>
    <w:rsid w:val="2C2C046C"/>
    <w:rsid w:val="2C2C2BD5"/>
    <w:rsid w:val="2C2C786F"/>
    <w:rsid w:val="2C2F549D"/>
    <w:rsid w:val="2C323470"/>
    <w:rsid w:val="2C3559BF"/>
    <w:rsid w:val="2C3B56CA"/>
    <w:rsid w:val="2C3E7CD1"/>
    <w:rsid w:val="2C457D28"/>
    <w:rsid w:val="2C495AC4"/>
    <w:rsid w:val="2C4D32F1"/>
    <w:rsid w:val="2C5B4454"/>
    <w:rsid w:val="2C5C3CA5"/>
    <w:rsid w:val="2C5C5E35"/>
    <w:rsid w:val="2C682E5E"/>
    <w:rsid w:val="2C7733CD"/>
    <w:rsid w:val="2C7827A3"/>
    <w:rsid w:val="2C7C4EA6"/>
    <w:rsid w:val="2C856009"/>
    <w:rsid w:val="2C863410"/>
    <w:rsid w:val="2C8B004F"/>
    <w:rsid w:val="2C8E5F53"/>
    <w:rsid w:val="2C8F70FF"/>
    <w:rsid w:val="2C91568B"/>
    <w:rsid w:val="2C953A73"/>
    <w:rsid w:val="2CA37D73"/>
    <w:rsid w:val="2CA55FD6"/>
    <w:rsid w:val="2CAC1BBA"/>
    <w:rsid w:val="2CAE0D5F"/>
    <w:rsid w:val="2CB20D54"/>
    <w:rsid w:val="2CC25A55"/>
    <w:rsid w:val="2CC41947"/>
    <w:rsid w:val="2CC448E3"/>
    <w:rsid w:val="2CCB0487"/>
    <w:rsid w:val="2CCB30EA"/>
    <w:rsid w:val="2CCC466A"/>
    <w:rsid w:val="2CCD6003"/>
    <w:rsid w:val="2CD04F0E"/>
    <w:rsid w:val="2CD36D47"/>
    <w:rsid w:val="2CDB7DA0"/>
    <w:rsid w:val="2CDF049E"/>
    <w:rsid w:val="2CE41D9B"/>
    <w:rsid w:val="2CE4461A"/>
    <w:rsid w:val="2CF20309"/>
    <w:rsid w:val="2CF5734C"/>
    <w:rsid w:val="2CFE5B26"/>
    <w:rsid w:val="2CFF544A"/>
    <w:rsid w:val="2D073FA4"/>
    <w:rsid w:val="2D1C756B"/>
    <w:rsid w:val="2D1D76EA"/>
    <w:rsid w:val="2D245EB1"/>
    <w:rsid w:val="2D276E27"/>
    <w:rsid w:val="2D282918"/>
    <w:rsid w:val="2D29243E"/>
    <w:rsid w:val="2D2E2C83"/>
    <w:rsid w:val="2D3C781C"/>
    <w:rsid w:val="2D3F0316"/>
    <w:rsid w:val="2D3F435B"/>
    <w:rsid w:val="2D434739"/>
    <w:rsid w:val="2D4E6BFA"/>
    <w:rsid w:val="2D5105B0"/>
    <w:rsid w:val="2D573947"/>
    <w:rsid w:val="2D6019F8"/>
    <w:rsid w:val="2D61141A"/>
    <w:rsid w:val="2D611DE3"/>
    <w:rsid w:val="2D645416"/>
    <w:rsid w:val="2D6A6978"/>
    <w:rsid w:val="2D7E7353"/>
    <w:rsid w:val="2D87497C"/>
    <w:rsid w:val="2D881B03"/>
    <w:rsid w:val="2D8D20E9"/>
    <w:rsid w:val="2D957660"/>
    <w:rsid w:val="2DA258C8"/>
    <w:rsid w:val="2DA25913"/>
    <w:rsid w:val="2DA70155"/>
    <w:rsid w:val="2DC071FC"/>
    <w:rsid w:val="2DCC642F"/>
    <w:rsid w:val="2DD13AB6"/>
    <w:rsid w:val="2DDA0B49"/>
    <w:rsid w:val="2DDB032D"/>
    <w:rsid w:val="2DDD70F2"/>
    <w:rsid w:val="2DDF1E00"/>
    <w:rsid w:val="2DE32066"/>
    <w:rsid w:val="2DE47B43"/>
    <w:rsid w:val="2DE85D78"/>
    <w:rsid w:val="2DEF5945"/>
    <w:rsid w:val="2DF53813"/>
    <w:rsid w:val="2DF625D9"/>
    <w:rsid w:val="2DF82C5A"/>
    <w:rsid w:val="2DFF657A"/>
    <w:rsid w:val="2E106210"/>
    <w:rsid w:val="2E14284A"/>
    <w:rsid w:val="2E1D00BC"/>
    <w:rsid w:val="2E225D9E"/>
    <w:rsid w:val="2E293FFE"/>
    <w:rsid w:val="2E2C167D"/>
    <w:rsid w:val="2E3D42AD"/>
    <w:rsid w:val="2E3D6F29"/>
    <w:rsid w:val="2E4B7451"/>
    <w:rsid w:val="2E4D65C1"/>
    <w:rsid w:val="2E573591"/>
    <w:rsid w:val="2E5806C5"/>
    <w:rsid w:val="2E5E17BC"/>
    <w:rsid w:val="2E603EA0"/>
    <w:rsid w:val="2E647240"/>
    <w:rsid w:val="2E656BF8"/>
    <w:rsid w:val="2E686D2A"/>
    <w:rsid w:val="2E6F51C0"/>
    <w:rsid w:val="2E732178"/>
    <w:rsid w:val="2E7D5899"/>
    <w:rsid w:val="2E8E794E"/>
    <w:rsid w:val="2E914492"/>
    <w:rsid w:val="2E963825"/>
    <w:rsid w:val="2E9F0BED"/>
    <w:rsid w:val="2EA53A48"/>
    <w:rsid w:val="2EA614E2"/>
    <w:rsid w:val="2EAD35AD"/>
    <w:rsid w:val="2EB023ED"/>
    <w:rsid w:val="2EB17749"/>
    <w:rsid w:val="2EB77AD0"/>
    <w:rsid w:val="2EB93945"/>
    <w:rsid w:val="2EBB3383"/>
    <w:rsid w:val="2EC23082"/>
    <w:rsid w:val="2EC721DD"/>
    <w:rsid w:val="2ED1273A"/>
    <w:rsid w:val="2ED82618"/>
    <w:rsid w:val="2EDC2599"/>
    <w:rsid w:val="2EE30F67"/>
    <w:rsid w:val="2EE56223"/>
    <w:rsid w:val="2EFF66A8"/>
    <w:rsid w:val="2F025222"/>
    <w:rsid w:val="2F094658"/>
    <w:rsid w:val="2F0C3BB4"/>
    <w:rsid w:val="2F156009"/>
    <w:rsid w:val="2F2E19BB"/>
    <w:rsid w:val="2F3810BA"/>
    <w:rsid w:val="2F49652E"/>
    <w:rsid w:val="2F5B478B"/>
    <w:rsid w:val="2F600DFE"/>
    <w:rsid w:val="2F6C2AD8"/>
    <w:rsid w:val="2F6C533C"/>
    <w:rsid w:val="2F756F56"/>
    <w:rsid w:val="2F8B0771"/>
    <w:rsid w:val="2F924890"/>
    <w:rsid w:val="2F9456D3"/>
    <w:rsid w:val="2F9620E0"/>
    <w:rsid w:val="2F9B3BA4"/>
    <w:rsid w:val="2F9E0D7D"/>
    <w:rsid w:val="2F9E2A73"/>
    <w:rsid w:val="2FA137A2"/>
    <w:rsid w:val="2FA6151E"/>
    <w:rsid w:val="2FA77AD5"/>
    <w:rsid w:val="2FAB6854"/>
    <w:rsid w:val="2FB270B8"/>
    <w:rsid w:val="2FB718DE"/>
    <w:rsid w:val="2FBD67BA"/>
    <w:rsid w:val="2FC70D12"/>
    <w:rsid w:val="2FCC7CB4"/>
    <w:rsid w:val="2FCF19F6"/>
    <w:rsid w:val="2FDE2969"/>
    <w:rsid w:val="2FE02EA0"/>
    <w:rsid w:val="2FE46353"/>
    <w:rsid w:val="2FE56B39"/>
    <w:rsid w:val="2FE819DE"/>
    <w:rsid w:val="2FFD0267"/>
    <w:rsid w:val="2FFE1602"/>
    <w:rsid w:val="30025241"/>
    <w:rsid w:val="300A3AAB"/>
    <w:rsid w:val="30121F50"/>
    <w:rsid w:val="3013485C"/>
    <w:rsid w:val="30185A05"/>
    <w:rsid w:val="301A1704"/>
    <w:rsid w:val="301F1A12"/>
    <w:rsid w:val="30227C28"/>
    <w:rsid w:val="302360EE"/>
    <w:rsid w:val="30243544"/>
    <w:rsid w:val="30266794"/>
    <w:rsid w:val="302A5B16"/>
    <w:rsid w:val="302E47B0"/>
    <w:rsid w:val="303B1E77"/>
    <w:rsid w:val="303D63F4"/>
    <w:rsid w:val="303E08C6"/>
    <w:rsid w:val="303F5B88"/>
    <w:rsid w:val="30622472"/>
    <w:rsid w:val="3063623E"/>
    <w:rsid w:val="306425B6"/>
    <w:rsid w:val="30665958"/>
    <w:rsid w:val="307E7AC6"/>
    <w:rsid w:val="30803B32"/>
    <w:rsid w:val="308A3D80"/>
    <w:rsid w:val="308E454F"/>
    <w:rsid w:val="3092679D"/>
    <w:rsid w:val="30982D72"/>
    <w:rsid w:val="3099050F"/>
    <w:rsid w:val="30997544"/>
    <w:rsid w:val="309B60AD"/>
    <w:rsid w:val="30A15202"/>
    <w:rsid w:val="30A55E8D"/>
    <w:rsid w:val="30AE074E"/>
    <w:rsid w:val="30B15ECE"/>
    <w:rsid w:val="30B40474"/>
    <w:rsid w:val="30B641B8"/>
    <w:rsid w:val="30B7161D"/>
    <w:rsid w:val="30B7494A"/>
    <w:rsid w:val="30BA1DC3"/>
    <w:rsid w:val="30BC6925"/>
    <w:rsid w:val="30C7226C"/>
    <w:rsid w:val="30CD0A19"/>
    <w:rsid w:val="30D04567"/>
    <w:rsid w:val="30D2686F"/>
    <w:rsid w:val="30D52A9B"/>
    <w:rsid w:val="30DD77CF"/>
    <w:rsid w:val="30DF0B46"/>
    <w:rsid w:val="30E83441"/>
    <w:rsid w:val="310C5B51"/>
    <w:rsid w:val="3114110B"/>
    <w:rsid w:val="311A6B57"/>
    <w:rsid w:val="311B416A"/>
    <w:rsid w:val="311F49A4"/>
    <w:rsid w:val="31230821"/>
    <w:rsid w:val="31240066"/>
    <w:rsid w:val="312A21AA"/>
    <w:rsid w:val="313112AC"/>
    <w:rsid w:val="31395A0E"/>
    <w:rsid w:val="313F3BC3"/>
    <w:rsid w:val="31426210"/>
    <w:rsid w:val="31461AB8"/>
    <w:rsid w:val="31517C59"/>
    <w:rsid w:val="31594169"/>
    <w:rsid w:val="31675824"/>
    <w:rsid w:val="316D2F59"/>
    <w:rsid w:val="31761209"/>
    <w:rsid w:val="31795311"/>
    <w:rsid w:val="317A5111"/>
    <w:rsid w:val="31836D1F"/>
    <w:rsid w:val="3184002C"/>
    <w:rsid w:val="31882B7F"/>
    <w:rsid w:val="31957888"/>
    <w:rsid w:val="31A10EA5"/>
    <w:rsid w:val="31A2772B"/>
    <w:rsid w:val="31A8255C"/>
    <w:rsid w:val="31BA061A"/>
    <w:rsid w:val="31D21386"/>
    <w:rsid w:val="31D72F24"/>
    <w:rsid w:val="31DD4190"/>
    <w:rsid w:val="31E06664"/>
    <w:rsid w:val="31E44D12"/>
    <w:rsid w:val="31E73865"/>
    <w:rsid w:val="31E9527E"/>
    <w:rsid w:val="31EE06CE"/>
    <w:rsid w:val="31FA2157"/>
    <w:rsid w:val="31FB4A20"/>
    <w:rsid w:val="31FE4B6D"/>
    <w:rsid w:val="320525A9"/>
    <w:rsid w:val="32057543"/>
    <w:rsid w:val="32077E48"/>
    <w:rsid w:val="320D5DB6"/>
    <w:rsid w:val="321A193D"/>
    <w:rsid w:val="321D4D48"/>
    <w:rsid w:val="32246A5E"/>
    <w:rsid w:val="3235608A"/>
    <w:rsid w:val="323B7351"/>
    <w:rsid w:val="323C6D0E"/>
    <w:rsid w:val="323E1453"/>
    <w:rsid w:val="323E6AE0"/>
    <w:rsid w:val="324921E0"/>
    <w:rsid w:val="324E6DF8"/>
    <w:rsid w:val="325628CD"/>
    <w:rsid w:val="325D227C"/>
    <w:rsid w:val="325F4068"/>
    <w:rsid w:val="32627FC8"/>
    <w:rsid w:val="32695BF7"/>
    <w:rsid w:val="32721228"/>
    <w:rsid w:val="327713AE"/>
    <w:rsid w:val="328F1066"/>
    <w:rsid w:val="329D7E14"/>
    <w:rsid w:val="32A2471C"/>
    <w:rsid w:val="32A74C8E"/>
    <w:rsid w:val="32AA3215"/>
    <w:rsid w:val="32B7443C"/>
    <w:rsid w:val="32BE2BAD"/>
    <w:rsid w:val="32C3229F"/>
    <w:rsid w:val="32CF3152"/>
    <w:rsid w:val="32D13EA8"/>
    <w:rsid w:val="32D408AD"/>
    <w:rsid w:val="32D429C3"/>
    <w:rsid w:val="32E31083"/>
    <w:rsid w:val="32ED4355"/>
    <w:rsid w:val="32FB489D"/>
    <w:rsid w:val="32FF1818"/>
    <w:rsid w:val="330121DA"/>
    <w:rsid w:val="3304362D"/>
    <w:rsid w:val="33050C02"/>
    <w:rsid w:val="33081450"/>
    <w:rsid w:val="3313530E"/>
    <w:rsid w:val="331A333D"/>
    <w:rsid w:val="331F003F"/>
    <w:rsid w:val="33204DF1"/>
    <w:rsid w:val="33214E85"/>
    <w:rsid w:val="332259AF"/>
    <w:rsid w:val="332742A8"/>
    <w:rsid w:val="332B7FAC"/>
    <w:rsid w:val="332E1A57"/>
    <w:rsid w:val="332F7655"/>
    <w:rsid w:val="33306105"/>
    <w:rsid w:val="33327337"/>
    <w:rsid w:val="33380A9C"/>
    <w:rsid w:val="33396F1A"/>
    <w:rsid w:val="334C29D1"/>
    <w:rsid w:val="334C6347"/>
    <w:rsid w:val="33700C31"/>
    <w:rsid w:val="33732602"/>
    <w:rsid w:val="33773CF9"/>
    <w:rsid w:val="337A5432"/>
    <w:rsid w:val="33816748"/>
    <w:rsid w:val="338B5C2B"/>
    <w:rsid w:val="338E442E"/>
    <w:rsid w:val="338F4D83"/>
    <w:rsid w:val="3393629D"/>
    <w:rsid w:val="33A6790B"/>
    <w:rsid w:val="33A76D1D"/>
    <w:rsid w:val="33B763E5"/>
    <w:rsid w:val="33BB5213"/>
    <w:rsid w:val="33C455CE"/>
    <w:rsid w:val="33C70BB6"/>
    <w:rsid w:val="33DD2557"/>
    <w:rsid w:val="33E0184B"/>
    <w:rsid w:val="33E461D9"/>
    <w:rsid w:val="33EB654C"/>
    <w:rsid w:val="33ED2445"/>
    <w:rsid w:val="33F21933"/>
    <w:rsid w:val="33F66324"/>
    <w:rsid w:val="33F9351A"/>
    <w:rsid w:val="33F96C19"/>
    <w:rsid w:val="33FB37E6"/>
    <w:rsid w:val="33FE4C5E"/>
    <w:rsid w:val="33FE7CCC"/>
    <w:rsid w:val="34005D8C"/>
    <w:rsid w:val="34050705"/>
    <w:rsid w:val="34107418"/>
    <w:rsid w:val="34184B9C"/>
    <w:rsid w:val="341C7714"/>
    <w:rsid w:val="341D274E"/>
    <w:rsid w:val="341E53AC"/>
    <w:rsid w:val="3430284A"/>
    <w:rsid w:val="34347325"/>
    <w:rsid w:val="34417261"/>
    <w:rsid w:val="34454601"/>
    <w:rsid w:val="34456026"/>
    <w:rsid w:val="345618DE"/>
    <w:rsid w:val="34563A27"/>
    <w:rsid w:val="34667853"/>
    <w:rsid w:val="34685E6C"/>
    <w:rsid w:val="346B2CC8"/>
    <w:rsid w:val="346F5AD4"/>
    <w:rsid w:val="34793CC5"/>
    <w:rsid w:val="347C7256"/>
    <w:rsid w:val="347F1A86"/>
    <w:rsid w:val="34800515"/>
    <w:rsid w:val="34805DA3"/>
    <w:rsid w:val="3484561C"/>
    <w:rsid w:val="34974D1E"/>
    <w:rsid w:val="349C6447"/>
    <w:rsid w:val="34A1228D"/>
    <w:rsid w:val="34A153B6"/>
    <w:rsid w:val="34AB4AD1"/>
    <w:rsid w:val="34AE0BC4"/>
    <w:rsid w:val="34AE48CB"/>
    <w:rsid w:val="34AF577A"/>
    <w:rsid w:val="34B06D32"/>
    <w:rsid w:val="34B2702D"/>
    <w:rsid w:val="34B60684"/>
    <w:rsid w:val="34BB0935"/>
    <w:rsid w:val="34BF69D2"/>
    <w:rsid w:val="34C20242"/>
    <w:rsid w:val="34C77CB1"/>
    <w:rsid w:val="34C86628"/>
    <w:rsid w:val="34CB3B5E"/>
    <w:rsid w:val="34CF0ED7"/>
    <w:rsid w:val="34CF5C16"/>
    <w:rsid w:val="34D1030D"/>
    <w:rsid w:val="34DF5F6F"/>
    <w:rsid w:val="34E81989"/>
    <w:rsid w:val="34EB3C89"/>
    <w:rsid w:val="34F10E05"/>
    <w:rsid w:val="34F40855"/>
    <w:rsid w:val="34F40CEA"/>
    <w:rsid w:val="34F52B51"/>
    <w:rsid w:val="34F91A28"/>
    <w:rsid w:val="34FE4BF4"/>
    <w:rsid w:val="350C1FA6"/>
    <w:rsid w:val="35114CAF"/>
    <w:rsid w:val="352D47BC"/>
    <w:rsid w:val="35335BCB"/>
    <w:rsid w:val="35340F97"/>
    <w:rsid w:val="353D200E"/>
    <w:rsid w:val="353F316E"/>
    <w:rsid w:val="35404780"/>
    <w:rsid w:val="3542568A"/>
    <w:rsid w:val="35465FC5"/>
    <w:rsid w:val="355A30F9"/>
    <w:rsid w:val="355B3A02"/>
    <w:rsid w:val="355F3E03"/>
    <w:rsid w:val="356412A7"/>
    <w:rsid w:val="35683B43"/>
    <w:rsid w:val="356D3D7D"/>
    <w:rsid w:val="35723E41"/>
    <w:rsid w:val="35770DB4"/>
    <w:rsid w:val="357F731A"/>
    <w:rsid w:val="35A86EBE"/>
    <w:rsid w:val="35A91F9F"/>
    <w:rsid w:val="35B80907"/>
    <w:rsid w:val="35D071A4"/>
    <w:rsid w:val="35E65109"/>
    <w:rsid w:val="35EA2F20"/>
    <w:rsid w:val="35EE70EE"/>
    <w:rsid w:val="35F00F86"/>
    <w:rsid w:val="35F8380E"/>
    <w:rsid w:val="361230A4"/>
    <w:rsid w:val="361626A8"/>
    <w:rsid w:val="361B77B6"/>
    <w:rsid w:val="36224108"/>
    <w:rsid w:val="362308F1"/>
    <w:rsid w:val="362D7196"/>
    <w:rsid w:val="36331E5D"/>
    <w:rsid w:val="36341520"/>
    <w:rsid w:val="36363096"/>
    <w:rsid w:val="36365DA6"/>
    <w:rsid w:val="363F6659"/>
    <w:rsid w:val="36451B2B"/>
    <w:rsid w:val="3649248B"/>
    <w:rsid w:val="364D7722"/>
    <w:rsid w:val="365524F5"/>
    <w:rsid w:val="366144BE"/>
    <w:rsid w:val="36661E68"/>
    <w:rsid w:val="367B5DD3"/>
    <w:rsid w:val="368760E3"/>
    <w:rsid w:val="36896026"/>
    <w:rsid w:val="36957418"/>
    <w:rsid w:val="369F4F03"/>
    <w:rsid w:val="36A05579"/>
    <w:rsid w:val="36AD48F7"/>
    <w:rsid w:val="36B36642"/>
    <w:rsid w:val="36BE5869"/>
    <w:rsid w:val="36D57471"/>
    <w:rsid w:val="36DB2D32"/>
    <w:rsid w:val="36DE5E6F"/>
    <w:rsid w:val="36DE77FF"/>
    <w:rsid w:val="36E12C83"/>
    <w:rsid w:val="36E54246"/>
    <w:rsid w:val="36E82A86"/>
    <w:rsid w:val="36EA370F"/>
    <w:rsid w:val="36EB266A"/>
    <w:rsid w:val="36EF0093"/>
    <w:rsid w:val="36EF6496"/>
    <w:rsid w:val="36F52914"/>
    <w:rsid w:val="37032A19"/>
    <w:rsid w:val="37094D38"/>
    <w:rsid w:val="370D59E0"/>
    <w:rsid w:val="370F63DF"/>
    <w:rsid w:val="370F6D79"/>
    <w:rsid w:val="371148D9"/>
    <w:rsid w:val="372657E2"/>
    <w:rsid w:val="372D064F"/>
    <w:rsid w:val="37321784"/>
    <w:rsid w:val="373B31EA"/>
    <w:rsid w:val="374012E9"/>
    <w:rsid w:val="374534D2"/>
    <w:rsid w:val="374E7653"/>
    <w:rsid w:val="375236F4"/>
    <w:rsid w:val="3752650C"/>
    <w:rsid w:val="3754277A"/>
    <w:rsid w:val="37543CFB"/>
    <w:rsid w:val="37550848"/>
    <w:rsid w:val="37574F2D"/>
    <w:rsid w:val="375E3C55"/>
    <w:rsid w:val="3760580C"/>
    <w:rsid w:val="37675326"/>
    <w:rsid w:val="3768205D"/>
    <w:rsid w:val="376A5D2E"/>
    <w:rsid w:val="376A5EFB"/>
    <w:rsid w:val="377673A8"/>
    <w:rsid w:val="377C1434"/>
    <w:rsid w:val="377F3FF2"/>
    <w:rsid w:val="3783485D"/>
    <w:rsid w:val="37885005"/>
    <w:rsid w:val="378F2852"/>
    <w:rsid w:val="37930B09"/>
    <w:rsid w:val="37954266"/>
    <w:rsid w:val="37981959"/>
    <w:rsid w:val="37A2598D"/>
    <w:rsid w:val="37AA57E1"/>
    <w:rsid w:val="37BC5C00"/>
    <w:rsid w:val="37C22E42"/>
    <w:rsid w:val="37C46D2B"/>
    <w:rsid w:val="37CA3E33"/>
    <w:rsid w:val="37CB5A55"/>
    <w:rsid w:val="37D76FF7"/>
    <w:rsid w:val="37E72A9F"/>
    <w:rsid w:val="37E73669"/>
    <w:rsid w:val="37E92A3F"/>
    <w:rsid w:val="37F1459E"/>
    <w:rsid w:val="37F14FA7"/>
    <w:rsid w:val="37F235DD"/>
    <w:rsid w:val="37F57DE3"/>
    <w:rsid w:val="37FB19F8"/>
    <w:rsid w:val="37FB7D2D"/>
    <w:rsid w:val="38017F4B"/>
    <w:rsid w:val="38053C8E"/>
    <w:rsid w:val="38177249"/>
    <w:rsid w:val="38185B5C"/>
    <w:rsid w:val="38221BF7"/>
    <w:rsid w:val="382F702F"/>
    <w:rsid w:val="38356E64"/>
    <w:rsid w:val="383A0C79"/>
    <w:rsid w:val="383F5370"/>
    <w:rsid w:val="38496CB0"/>
    <w:rsid w:val="384A7D15"/>
    <w:rsid w:val="384F5619"/>
    <w:rsid w:val="3850647B"/>
    <w:rsid w:val="38510D08"/>
    <w:rsid w:val="3854516A"/>
    <w:rsid w:val="38554EF6"/>
    <w:rsid w:val="38615334"/>
    <w:rsid w:val="38624FC2"/>
    <w:rsid w:val="386C071D"/>
    <w:rsid w:val="387406D9"/>
    <w:rsid w:val="38856826"/>
    <w:rsid w:val="388B19AD"/>
    <w:rsid w:val="388E46C0"/>
    <w:rsid w:val="389703EE"/>
    <w:rsid w:val="38997765"/>
    <w:rsid w:val="389A7D65"/>
    <w:rsid w:val="38A55696"/>
    <w:rsid w:val="38AF6483"/>
    <w:rsid w:val="38B07D42"/>
    <w:rsid w:val="38B32B36"/>
    <w:rsid w:val="38B91261"/>
    <w:rsid w:val="38BF05C6"/>
    <w:rsid w:val="38C02337"/>
    <w:rsid w:val="38C26AE5"/>
    <w:rsid w:val="38C3546F"/>
    <w:rsid w:val="38C42BC0"/>
    <w:rsid w:val="38CB3D03"/>
    <w:rsid w:val="38CE1465"/>
    <w:rsid w:val="38CF53F2"/>
    <w:rsid w:val="38DB1DBB"/>
    <w:rsid w:val="38E67E88"/>
    <w:rsid w:val="38E67F3C"/>
    <w:rsid w:val="38EC6159"/>
    <w:rsid w:val="38F24DAA"/>
    <w:rsid w:val="38F5717C"/>
    <w:rsid w:val="38FD7758"/>
    <w:rsid w:val="39091FC3"/>
    <w:rsid w:val="390D43EF"/>
    <w:rsid w:val="390E15C9"/>
    <w:rsid w:val="391175CF"/>
    <w:rsid w:val="39136250"/>
    <w:rsid w:val="39153127"/>
    <w:rsid w:val="39161B92"/>
    <w:rsid w:val="39204934"/>
    <w:rsid w:val="392102E2"/>
    <w:rsid w:val="3925049B"/>
    <w:rsid w:val="39330CD3"/>
    <w:rsid w:val="393E5D87"/>
    <w:rsid w:val="39410582"/>
    <w:rsid w:val="394964D3"/>
    <w:rsid w:val="3957356F"/>
    <w:rsid w:val="395D6FAF"/>
    <w:rsid w:val="39611068"/>
    <w:rsid w:val="396777C1"/>
    <w:rsid w:val="3974343C"/>
    <w:rsid w:val="39752D68"/>
    <w:rsid w:val="397A01BF"/>
    <w:rsid w:val="39897D35"/>
    <w:rsid w:val="398B09CF"/>
    <w:rsid w:val="398F4D71"/>
    <w:rsid w:val="3993034E"/>
    <w:rsid w:val="3998248E"/>
    <w:rsid w:val="399C4987"/>
    <w:rsid w:val="399E7CB7"/>
    <w:rsid w:val="39A2632E"/>
    <w:rsid w:val="39AE1D78"/>
    <w:rsid w:val="39B57B99"/>
    <w:rsid w:val="39BB2CC8"/>
    <w:rsid w:val="39C0462B"/>
    <w:rsid w:val="39C541A8"/>
    <w:rsid w:val="39C75AD3"/>
    <w:rsid w:val="39CA7C6B"/>
    <w:rsid w:val="39D23511"/>
    <w:rsid w:val="39D42118"/>
    <w:rsid w:val="39D84A7F"/>
    <w:rsid w:val="39DA0AF2"/>
    <w:rsid w:val="39DF67ED"/>
    <w:rsid w:val="39E40DE1"/>
    <w:rsid w:val="39E859D2"/>
    <w:rsid w:val="39EE03CF"/>
    <w:rsid w:val="39EE3A24"/>
    <w:rsid w:val="3A032023"/>
    <w:rsid w:val="3A0B0927"/>
    <w:rsid w:val="3A0D4633"/>
    <w:rsid w:val="3A0E208D"/>
    <w:rsid w:val="3A0E2608"/>
    <w:rsid w:val="3A1731BF"/>
    <w:rsid w:val="3A271E5A"/>
    <w:rsid w:val="3A332CF9"/>
    <w:rsid w:val="3A38702A"/>
    <w:rsid w:val="3A392148"/>
    <w:rsid w:val="3A3A5366"/>
    <w:rsid w:val="3A492ADD"/>
    <w:rsid w:val="3A492E5E"/>
    <w:rsid w:val="3A4E4EE0"/>
    <w:rsid w:val="3A520860"/>
    <w:rsid w:val="3A530425"/>
    <w:rsid w:val="3A5534FA"/>
    <w:rsid w:val="3A5703A9"/>
    <w:rsid w:val="3A582508"/>
    <w:rsid w:val="3A5920FB"/>
    <w:rsid w:val="3A5C328C"/>
    <w:rsid w:val="3A676EB0"/>
    <w:rsid w:val="3A71552F"/>
    <w:rsid w:val="3A765E6F"/>
    <w:rsid w:val="3A815CC9"/>
    <w:rsid w:val="3A842650"/>
    <w:rsid w:val="3A97475B"/>
    <w:rsid w:val="3A9C364E"/>
    <w:rsid w:val="3A9E5B25"/>
    <w:rsid w:val="3A9F1737"/>
    <w:rsid w:val="3AA01F33"/>
    <w:rsid w:val="3AA5456C"/>
    <w:rsid w:val="3AAD251D"/>
    <w:rsid w:val="3AAE0AE3"/>
    <w:rsid w:val="3AAE7C28"/>
    <w:rsid w:val="3AB330F2"/>
    <w:rsid w:val="3AC218B9"/>
    <w:rsid w:val="3AC85C71"/>
    <w:rsid w:val="3AD314C9"/>
    <w:rsid w:val="3AD74D28"/>
    <w:rsid w:val="3ADD28A3"/>
    <w:rsid w:val="3ADE12D5"/>
    <w:rsid w:val="3ADF1436"/>
    <w:rsid w:val="3AE44D48"/>
    <w:rsid w:val="3AEA3DF1"/>
    <w:rsid w:val="3AEA7B94"/>
    <w:rsid w:val="3AF454EE"/>
    <w:rsid w:val="3AF725D7"/>
    <w:rsid w:val="3AF941E5"/>
    <w:rsid w:val="3B0503CE"/>
    <w:rsid w:val="3B072071"/>
    <w:rsid w:val="3B0A157F"/>
    <w:rsid w:val="3B0B6510"/>
    <w:rsid w:val="3B131D77"/>
    <w:rsid w:val="3B143F0E"/>
    <w:rsid w:val="3B144CC3"/>
    <w:rsid w:val="3B1B6382"/>
    <w:rsid w:val="3B352B29"/>
    <w:rsid w:val="3B3D5E84"/>
    <w:rsid w:val="3B3E1D34"/>
    <w:rsid w:val="3B3F568A"/>
    <w:rsid w:val="3B40575C"/>
    <w:rsid w:val="3B417EA2"/>
    <w:rsid w:val="3B436909"/>
    <w:rsid w:val="3B4A2E28"/>
    <w:rsid w:val="3B5336B3"/>
    <w:rsid w:val="3B63678E"/>
    <w:rsid w:val="3B771F5B"/>
    <w:rsid w:val="3B842DF1"/>
    <w:rsid w:val="3B8A4538"/>
    <w:rsid w:val="3B8F1EB8"/>
    <w:rsid w:val="3BAA674A"/>
    <w:rsid w:val="3BB827C0"/>
    <w:rsid w:val="3BBB7A8A"/>
    <w:rsid w:val="3BC42E63"/>
    <w:rsid w:val="3BC51A1E"/>
    <w:rsid w:val="3BC64927"/>
    <w:rsid w:val="3BC7345B"/>
    <w:rsid w:val="3BC91666"/>
    <w:rsid w:val="3BCA2438"/>
    <w:rsid w:val="3BCE242D"/>
    <w:rsid w:val="3BD30024"/>
    <w:rsid w:val="3BD406F5"/>
    <w:rsid w:val="3BD903B7"/>
    <w:rsid w:val="3BDF32DF"/>
    <w:rsid w:val="3BDF5C9E"/>
    <w:rsid w:val="3BE406C1"/>
    <w:rsid w:val="3BF00265"/>
    <w:rsid w:val="3BF51C7A"/>
    <w:rsid w:val="3C002C7A"/>
    <w:rsid w:val="3C05192B"/>
    <w:rsid w:val="3C0B230F"/>
    <w:rsid w:val="3C0F0475"/>
    <w:rsid w:val="3C1C144C"/>
    <w:rsid w:val="3C24002A"/>
    <w:rsid w:val="3C257D11"/>
    <w:rsid w:val="3C2A29CB"/>
    <w:rsid w:val="3C2D58E4"/>
    <w:rsid w:val="3C384897"/>
    <w:rsid w:val="3C3B3401"/>
    <w:rsid w:val="3C3C32AA"/>
    <w:rsid w:val="3C3C7476"/>
    <w:rsid w:val="3C3E1FDA"/>
    <w:rsid w:val="3C473A8E"/>
    <w:rsid w:val="3C562685"/>
    <w:rsid w:val="3C596027"/>
    <w:rsid w:val="3C5E0FB6"/>
    <w:rsid w:val="3C610B7F"/>
    <w:rsid w:val="3C6A10F4"/>
    <w:rsid w:val="3C706538"/>
    <w:rsid w:val="3C706743"/>
    <w:rsid w:val="3C71344D"/>
    <w:rsid w:val="3C732DDB"/>
    <w:rsid w:val="3C7B2F84"/>
    <w:rsid w:val="3C7D2483"/>
    <w:rsid w:val="3C8A5729"/>
    <w:rsid w:val="3C8B2F19"/>
    <w:rsid w:val="3C8C09F0"/>
    <w:rsid w:val="3C8C4549"/>
    <w:rsid w:val="3C8D1643"/>
    <w:rsid w:val="3C8E6BE1"/>
    <w:rsid w:val="3CA820B5"/>
    <w:rsid w:val="3CB355CF"/>
    <w:rsid w:val="3CB912B9"/>
    <w:rsid w:val="3CBC1ED6"/>
    <w:rsid w:val="3CC7098B"/>
    <w:rsid w:val="3CC8363F"/>
    <w:rsid w:val="3CCE14AF"/>
    <w:rsid w:val="3CD26C1F"/>
    <w:rsid w:val="3CE23C96"/>
    <w:rsid w:val="3CF013DC"/>
    <w:rsid w:val="3CF156C3"/>
    <w:rsid w:val="3CF21009"/>
    <w:rsid w:val="3D024379"/>
    <w:rsid w:val="3D042423"/>
    <w:rsid w:val="3D055C12"/>
    <w:rsid w:val="3D072048"/>
    <w:rsid w:val="3D0B68E0"/>
    <w:rsid w:val="3D0D0182"/>
    <w:rsid w:val="3D110760"/>
    <w:rsid w:val="3D1114AD"/>
    <w:rsid w:val="3D121B72"/>
    <w:rsid w:val="3D20687E"/>
    <w:rsid w:val="3D346C9B"/>
    <w:rsid w:val="3D3F161C"/>
    <w:rsid w:val="3D487895"/>
    <w:rsid w:val="3D4F2264"/>
    <w:rsid w:val="3D4F4713"/>
    <w:rsid w:val="3D5052AF"/>
    <w:rsid w:val="3D51289D"/>
    <w:rsid w:val="3D530D22"/>
    <w:rsid w:val="3D5A545D"/>
    <w:rsid w:val="3D6756EB"/>
    <w:rsid w:val="3D677C94"/>
    <w:rsid w:val="3D6E0D98"/>
    <w:rsid w:val="3D703B71"/>
    <w:rsid w:val="3D7151B4"/>
    <w:rsid w:val="3D772E4F"/>
    <w:rsid w:val="3D785CA3"/>
    <w:rsid w:val="3D7D5A86"/>
    <w:rsid w:val="3D822488"/>
    <w:rsid w:val="3D823C73"/>
    <w:rsid w:val="3D862EC5"/>
    <w:rsid w:val="3D890DCF"/>
    <w:rsid w:val="3D950BD3"/>
    <w:rsid w:val="3D976DA1"/>
    <w:rsid w:val="3D9A1CEA"/>
    <w:rsid w:val="3D9C17BA"/>
    <w:rsid w:val="3D9D00F9"/>
    <w:rsid w:val="3D9F6D69"/>
    <w:rsid w:val="3DA213E7"/>
    <w:rsid w:val="3DA6317C"/>
    <w:rsid w:val="3DA901A8"/>
    <w:rsid w:val="3DB41FE3"/>
    <w:rsid w:val="3DB623B5"/>
    <w:rsid w:val="3DB95085"/>
    <w:rsid w:val="3DD04CDD"/>
    <w:rsid w:val="3DD73D32"/>
    <w:rsid w:val="3DD941B7"/>
    <w:rsid w:val="3DE20E53"/>
    <w:rsid w:val="3DE464C6"/>
    <w:rsid w:val="3DE70CB0"/>
    <w:rsid w:val="3DEB3F50"/>
    <w:rsid w:val="3DF52514"/>
    <w:rsid w:val="3E022261"/>
    <w:rsid w:val="3E0A7B67"/>
    <w:rsid w:val="3E0F1E57"/>
    <w:rsid w:val="3E0F6EB0"/>
    <w:rsid w:val="3E114D0C"/>
    <w:rsid w:val="3E1F5236"/>
    <w:rsid w:val="3E2003D9"/>
    <w:rsid w:val="3E261C65"/>
    <w:rsid w:val="3E2C0236"/>
    <w:rsid w:val="3E2E38D0"/>
    <w:rsid w:val="3E323125"/>
    <w:rsid w:val="3E3C453A"/>
    <w:rsid w:val="3E3E0C8C"/>
    <w:rsid w:val="3E4109AC"/>
    <w:rsid w:val="3E450472"/>
    <w:rsid w:val="3E5C5253"/>
    <w:rsid w:val="3E5D0FA2"/>
    <w:rsid w:val="3E60051C"/>
    <w:rsid w:val="3E7C1F15"/>
    <w:rsid w:val="3E7E0146"/>
    <w:rsid w:val="3E821E22"/>
    <w:rsid w:val="3E8977B4"/>
    <w:rsid w:val="3E8E63FD"/>
    <w:rsid w:val="3E9A2EBB"/>
    <w:rsid w:val="3EA20E87"/>
    <w:rsid w:val="3EB6678E"/>
    <w:rsid w:val="3EC2199E"/>
    <w:rsid w:val="3EC5423B"/>
    <w:rsid w:val="3ED22010"/>
    <w:rsid w:val="3ED86200"/>
    <w:rsid w:val="3ED953F2"/>
    <w:rsid w:val="3EDE4F3D"/>
    <w:rsid w:val="3EEA476D"/>
    <w:rsid w:val="3EEB734A"/>
    <w:rsid w:val="3EEB7CEF"/>
    <w:rsid w:val="3EEE4288"/>
    <w:rsid w:val="3EF32FAE"/>
    <w:rsid w:val="3EFF482E"/>
    <w:rsid w:val="3F077AC3"/>
    <w:rsid w:val="3F141FFC"/>
    <w:rsid w:val="3F163A7B"/>
    <w:rsid w:val="3F1839FB"/>
    <w:rsid w:val="3F21283D"/>
    <w:rsid w:val="3F264863"/>
    <w:rsid w:val="3F2C1225"/>
    <w:rsid w:val="3F2C6319"/>
    <w:rsid w:val="3F363D97"/>
    <w:rsid w:val="3F375D5D"/>
    <w:rsid w:val="3F430704"/>
    <w:rsid w:val="3F4E0407"/>
    <w:rsid w:val="3F506CCD"/>
    <w:rsid w:val="3F5B1670"/>
    <w:rsid w:val="3F63437D"/>
    <w:rsid w:val="3F657EFF"/>
    <w:rsid w:val="3F67381D"/>
    <w:rsid w:val="3F676BCA"/>
    <w:rsid w:val="3F695778"/>
    <w:rsid w:val="3F6C0040"/>
    <w:rsid w:val="3F6C5FA2"/>
    <w:rsid w:val="3F6E1F18"/>
    <w:rsid w:val="3F6F7D74"/>
    <w:rsid w:val="3F702387"/>
    <w:rsid w:val="3F7C345F"/>
    <w:rsid w:val="3F800EA0"/>
    <w:rsid w:val="3F955AE7"/>
    <w:rsid w:val="3F9911D6"/>
    <w:rsid w:val="3FA42BB1"/>
    <w:rsid w:val="3FA74E53"/>
    <w:rsid w:val="3FA77831"/>
    <w:rsid w:val="3FAE3DFA"/>
    <w:rsid w:val="3FBA53D2"/>
    <w:rsid w:val="3FBE69AF"/>
    <w:rsid w:val="3FC05789"/>
    <w:rsid w:val="3FC2797B"/>
    <w:rsid w:val="3FD537DD"/>
    <w:rsid w:val="3FD7792D"/>
    <w:rsid w:val="3FD822DE"/>
    <w:rsid w:val="3FE06E4D"/>
    <w:rsid w:val="3FE30BFF"/>
    <w:rsid w:val="3FE76C43"/>
    <w:rsid w:val="3FEB1428"/>
    <w:rsid w:val="3FEC4F13"/>
    <w:rsid w:val="3FED5823"/>
    <w:rsid w:val="3FF00A14"/>
    <w:rsid w:val="3FFA009F"/>
    <w:rsid w:val="3FFB07D1"/>
    <w:rsid w:val="40037811"/>
    <w:rsid w:val="40046092"/>
    <w:rsid w:val="402307F6"/>
    <w:rsid w:val="403045DC"/>
    <w:rsid w:val="40311D00"/>
    <w:rsid w:val="40332BC6"/>
    <w:rsid w:val="403434CB"/>
    <w:rsid w:val="40363D0D"/>
    <w:rsid w:val="403E1EB1"/>
    <w:rsid w:val="404A2CB2"/>
    <w:rsid w:val="404E3A71"/>
    <w:rsid w:val="40505B4B"/>
    <w:rsid w:val="40545FFE"/>
    <w:rsid w:val="405B648B"/>
    <w:rsid w:val="40644B43"/>
    <w:rsid w:val="406733A8"/>
    <w:rsid w:val="406D1B56"/>
    <w:rsid w:val="406F42CB"/>
    <w:rsid w:val="40701A8C"/>
    <w:rsid w:val="407D63A8"/>
    <w:rsid w:val="4084312D"/>
    <w:rsid w:val="408A682B"/>
    <w:rsid w:val="40921307"/>
    <w:rsid w:val="409830AE"/>
    <w:rsid w:val="40A876D7"/>
    <w:rsid w:val="40AE4D1E"/>
    <w:rsid w:val="40AF143F"/>
    <w:rsid w:val="40B015FF"/>
    <w:rsid w:val="40C52B32"/>
    <w:rsid w:val="40D46D05"/>
    <w:rsid w:val="40D477B8"/>
    <w:rsid w:val="40DC5B7C"/>
    <w:rsid w:val="40F0589A"/>
    <w:rsid w:val="40F67194"/>
    <w:rsid w:val="40FD410D"/>
    <w:rsid w:val="41027124"/>
    <w:rsid w:val="41027D33"/>
    <w:rsid w:val="41070E7A"/>
    <w:rsid w:val="410840AF"/>
    <w:rsid w:val="410C3C94"/>
    <w:rsid w:val="410C55BD"/>
    <w:rsid w:val="410E1F8A"/>
    <w:rsid w:val="41135618"/>
    <w:rsid w:val="4115375B"/>
    <w:rsid w:val="4116029C"/>
    <w:rsid w:val="41160C7E"/>
    <w:rsid w:val="41212317"/>
    <w:rsid w:val="41236BC9"/>
    <w:rsid w:val="41317226"/>
    <w:rsid w:val="413E616F"/>
    <w:rsid w:val="4147182F"/>
    <w:rsid w:val="414F509B"/>
    <w:rsid w:val="415377DD"/>
    <w:rsid w:val="415A2554"/>
    <w:rsid w:val="415D32D9"/>
    <w:rsid w:val="416C05F2"/>
    <w:rsid w:val="416C119D"/>
    <w:rsid w:val="416D4543"/>
    <w:rsid w:val="417477BB"/>
    <w:rsid w:val="417F1F85"/>
    <w:rsid w:val="41842677"/>
    <w:rsid w:val="41994E87"/>
    <w:rsid w:val="419B3C81"/>
    <w:rsid w:val="419C52BF"/>
    <w:rsid w:val="41A37B71"/>
    <w:rsid w:val="41A42A9A"/>
    <w:rsid w:val="41AA014B"/>
    <w:rsid w:val="41AB3F5C"/>
    <w:rsid w:val="41AC12E5"/>
    <w:rsid w:val="41B03EF2"/>
    <w:rsid w:val="41B12862"/>
    <w:rsid w:val="41B6128E"/>
    <w:rsid w:val="41C6512B"/>
    <w:rsid w:val="41CB512B"/>
    <w:rsid w:val="41CD279D"/>
    <w:rsid w:val="41D5643B"/>
    <w:rsid w:val="41E609D3"/>
    <w:rsid w:val="41EA7EA0"/>
    <w:rsid w:val="41EB170B"/>
    <w:rsid w:val="41F978B0"/>
    <w:rsid w:val="41FC65D3"/>
    <w:rsid w:val="4201117C"/>
    <w:rsid w:val="42064908"/>
    <w:rsid w:val="420978A9"/>
    <w:rsid w:val="421022D9"/>
    <w:rsid w:val="421160D7"/>
    <w:rsid w:val="42273570"/>
    <w:rsid w:val="422C1B6A"/>
    <w:rsid w:val="42301704"/>
    <w:rsid w:val="42357AE9"/>
    <w:rsid w:val="423B7891"/>
    <w:rsid w:val="423C2F5B"/>
    <w:rsid w:val="42440060"/>
    <w:rsid w:val="42496E56"/>
    <w:rsid w:val="424D5F67"/>
    <w:rsid w:val="42530C13"/>
    <w:rsid w:val="42546B47"/>
    <w:rsid w:val="42613B88"/>
    <w:rsid w:val="42666010"/>
    <w:rsid w:val="427A7361"/>
    <w:rsid w:val="427F7B5C"/>
    <w:rsid w:val="4287745E"/>
    <w:rsid w:val="428C32C8"/>
    <w:rsid w:val="428D4BDD"/>
    <w:rsid w:val="4292561B"/>
    <w:rsid w:val="42A60509"/>
    <w:rsid w:val="42B8535D"/>
    <w:rsid w:val="42BC6038"/>
    <w:rsid w:val="42CB66B9"/>
    <w:rsid w:val="42E442A0"/>
    <w:rsid w:val="42E55E32"/>
    <w:rsid w:val="42EA3D64"/>
    <w:rsid w:val="42EA5934"/>
    <w:rsid w:val="42F5262B"/>
    <w:rsid w:val="42F72693"/>
    <w:rsid w:val="42F93979"/>
    <w:rsid w:val="42FA7FC3"/>
    <w:rsid w:val="43002F6D"/>
    <w:rsid w:val="43073525"/>
    <w:rsid w:val="430D3075"/>
    <w:rsid w:val="43291CCE"/>
    <w:rsid w:val="432D6912"/>
    <w:rsid w:val="43304148"/>
    <w:rsid w:val="43317344"/>
    <w:rsid w:val="43320E90"/>
    <w:rsid w:val="433455A6"/>
    <w:rsid w:val="43421D33"/>
    <w:rsid w:val="43462EF8"/>
    <w:rsid w:val="434D44FC"/>
    <w:rsid w:val="435C382E"/>
    <w:rsid w:val="435C7DD3"/>
    <w:rsid w:val="435D0DF1"/>
    <w:rsid w:val="435E2475"/>
    <w:rsid w:val="43651D7A"/>
    <w:rsid w:val="43673342"/>
    <w:rsid w:val="43693C02"/>
    <w:rsid w:val="436C6F81"/>
    <w:rsid w:val="436D46F5"/>
    <w:rsid w:val="437C7E88"/>
    <w:rsid w:val="437E4365"/>
    <w:rsid w:val="43863A7E"/>
    <w:rsid w:val="438A77DD"/>
    <w:rsid w:val="43952370"/>
    <w:rsid w:val="439D5778"/>
    <w:rsid w:val="439F2E3A"/>
    <w:rsid w:val="43AA6FCF"/>
    <w:rsid w:val="43AB5289"/>
    <w:rsid w:val="43B00830"/>
    <w:rsid w:val="43B05D9E"/>
    <w:rsid w:val="43B755E6"/>
    <w:rsid w:val="43B9773D"/>
    <w:rsid w:val="43BD09C9"/>
    <w:rsid w:val="43C2754D"/>
    <w:rsid w:val="43C31A86"/>
    <w:rsid w:val="43D04A77"/>
    <w:rsid w:val="43E6461C"/>
    <w:rsid w:val="43E756C4"/>
    <w:rsid w:val="43EA2D6E"/>
    <w:rsid w:val="43EF3867"/>
    <w:rsid w:val="43FD34F0"/>
    <w:rsid w:val="43FF5D99"/>
    <w:rsid w:val="43FF66E2"/>
    <w:rsid w:val="44092212"/>
    <w:rsid w:val="44173F56"/>
    <w:rsid w:val="441F03AE"/>
    <w:rsid w:val="44266714"/>
    <w:rsid w:val="442A0F96"/>
    <w:rsid w:val="4432172A"/>
    <w:rsid w:val="44334F73"/>
    <w:rsid w:val="44350E20"/>
    <w:rsid w:val="4438677C"/>
    <w:rsid w:val="444400DB"/>
    <w:rsid w:val="444479B1"/>
    <w:rsid w:val="44506F2B"/>
    <w:rsid w:val="445175E8"/>
    <w:rsid w:val="445A4AF4"/>
    <w:rsid w:val="44642F11"/>
    <w:rsid w:val="44674A12"/>
    <w:rsid w:val="446762DA"/>
    <w:rsid w:val="44684782"/>
    <w:rsid w:val="44686EB8"/>
    <w:rsid w:val="447730D7"/>
    <w:rsid w:val="44783356"/>
    <w:rsid w:val="447834A9"/>
    <w:rsid w:val="447A2214"/>
    <w:rsid w:val="448446FE"/>
    <w:rsid w:val="448F5E95"/>
    <w:rsid w:val="44914ED1"/>
    <w:rsid w:val="44961F66"/>
    <w:rsid w:val="449A2B93"/>
    <w:rsid w:val="449A3246"/>
    <w:rsid w:val="449D0227"/>
    <w:rsid w:val="44A06F2C"/>
    <w:rsid w:val="44A52F51"/>
    <w:rsid w:val="44A53404"/>
    <w:rsid w:val="44A9416B"/>
    <w:rsid w:val="44AC223E"/>
    <w:rsid w:val="44B721AC"/>
    <w:rsid w:val="44BA02EC"/>
    <w:rsid w:val="44C474BC"/>
    <w:rsid w:val="44CC56EA"/>
    <w:rsid w:val="44D034E6"/>
    <w:rsid w:val="44D94820"/>
    <w:rsid w:val="44D96C04"/>
    <w:rsid w:val="44DA4055"/>
    <w:rsid w:val="44E2365D"/>
    <w:rsid w:val="44F4321B"/>
    <w:rsid w:val="44F52779"/>
    <w:rsid w:val="44F60650"/>
    <w:rsid w:val="44FB6758"/>
    <w:rsid w:val="44FF016D"/>
    <w:rsid w:val="44FF5F4F"/>
    <w:rsid w:val="45030754"/>
    <w:rsid w:val="45055BA1"/>
    <w:rsid w:val="45141E9D"/>
    <w:rsid w:val="451D091F"/>
    <w:rsid w:val="451D401A"/>
    <w:rsid w:val="45295147"/>
    <w:rsid w:val="452F2608"/>
    <w:rsid w:val="454100D8"/>
    <w:rsid w:val="45434E9A"/>
    <w:rsid w:val="45441EDC"/>
    <w:rsid w:val="454473BA"/>
    <w:rsid w:val="45631DF8"/>
    <w:rsid w:val="456352E0"/>
    <w:rsid w:val="456B4032"/>
    <w:rsid w:val="45734A78"/>
    <w:rsid w:val="457646C0"/>
    <w:rsid w:val="457B0AFD"/>
    <w:rsid w:val="457C175B"/>
    <w:rsid w:val="45870848"/>
    <w:rsid w:val="459015BD"/>
    <w:rsid w:val="459364A1"/>
    <w:rsid w:val="45951491"/>
    <w:rsid w:val="45956ACD"/>
    <w:rsid w:val="459B7739"/>
    <w:rsid w:val="45AF7F18"/>
    <w:rsid w:val="45B5790C"/>
    <w:rsid w:val="45B836E8"/>
    <w:rsid w:val="45BB7A15"/>
    <w:rsid w:val="45CA1314"/>
    <w:rsid w:val="45DB67D3"/>
    <w:rsid w:val="45F374BE"/>
    <w:rsid w:val="45F65434"/>
    <w:rsid w:val="460175C9"/>
    <w:rsid w:val="46050783"/>
    <w:rsid w:val="46050FD3"/>
    <w:rsid w:val="460D0030"/>
    <w:rsid w:val="461B2FF8"/>
    <w:rsid w:val="46250576"/>
    <w:rsid w:val="46255A75"/>
    <w:rsid w:val="46267EDB"/>
    <w:rsid w:val="462F7315"/>
    <w:rsid w:val="4631422B"/>
    <w:rsid w:val="4635253F"/>
    <w:rsid w:val="46421929"/>
    <w:rsid w:val="464459D0"/>
    <w:rsid w:val="46452EAE"/>
    <w:rsid w:val="46484FB7"/>
    <w:rsid w:val="464B0EAE"/>
    <w:rsid w:val="465271CC"/>
    <w:rsid w:val="46531622"/>
    <w:rsid w:val="46562739"/>
    <w:rsid w:val="46587853"/>
    <w:rsid w:val="466664B9"/>
    <w:rsid w:val="4669098F"/>
    <w:rsid w:val="466F0F6E"/>
    <w:rsid w:val="4672098C"/>
    <w:rsid w:val="46726D52"/>
    <w:rsid w:val="467E3541"/>
    <w:rsid w:val="46807F7A"/>
    <w:rsid w:val="468857EA"/>
    <w:rsid w:val="468F112A"/>
    <w:rsid w:val="46910D17"/>
    <w:rsid w:val="469E7AC6"/>
    <w:rsid w:val="46A47F8B"/>
    <w:rsid w:val="46AE696D"/>
    <w:rsid w:val="46AF5DD0"/>
    <w:rsid w:val="46B80FDC"/>
    <w:rsid w:val="46CA455E"/>
    <w:rsid w:val="46CF1C22"/>
    <w:rsid w:val="46D51D3F"/>
    <w:rsid w:val="46D92BF6"/>
    <w:rsid w:val="46DB2A31"/>
    <w:rsid w:val="46DE1F03"/>
    <w:rsid w:val="46EA65BE"/>
    <w:rsid w:val="46F06095"/>
    <w:rsid w:val="46F3688F"/>
    <w:rsid w:val="46F80B7F"/>
    <w:rsid w:val="46FA023B"/>
    <w:rsid w:val="46FE478D"/>
    <w:rsid w:val="470A52FC"/>
    <w:rsid w:val="470C0B8C"/>
    <w:rsid w:val="471619FF"/>
    <w:rsid w:val="471A20EE"/>
    <w:rsid w:val="47201B8D"/>
    <w:rsid w:val="4721543C"/>
    <w:rsid w:val="4723246F"/>
    <w:rsid w:val="472672F6"/>
    <w:rsid w:val="472773EC"/>
    <w:rsid w:val="472E0B19"/>
    <w:rsid w:val="47324F8A"/>
    <w:rsid w:val="47387475"/>
    <w:rsid w:val="473B6E38"/>
    <w:rsid w:val="474655C1"/>
    <w:rsid w:val="475544CB"/>
    <w:rsid w:val="475E3F98"/>
    <w:rsid w:val="4762104B"/>
    <w:rsid w:val="4773682B"/>
    <w:rsid w:val="4774227E"/>
    <w:rsid w:val="477608B5"/>
    <w:rsid w:val="478E5DA0"/>
    <w:rsid w:val="478F12F7"/>
    <w:rsid w:val="47902409"/>
    <w:rsid w:val="47997B4B"/>
    <w:rsid w:val="479A1D3F"/>
    <w:rsid w:val="479C7548"/>
    <w:rsid w:val="47A63C9B"/>
    <w:rsid w:val="47AE5CF7"/>
    <w:rsid w:val="47B77514"/>
    <w:rsid w:val="47B83D9B"/>
    <w:rsid w:val="47B91329"/>
    <w:rsid w:val="47B96CCE"/>
    <w:rsid w:val="47BA158F"/>
    <w:rsid w:val="47BF4033"/>
    <w:rsid w:val="47C239F1"/>
    <w:rsid w:val="47C53F0C"/>
    <w:rsid w:val="47C623F5"/>
    <w:rsid w:val="47D00ED5"/>
    <w:rsid w:val="47D74EBF"/>
    <w:rsid w:val="47D82F4C"/>
    <w:rsid w:val="47D97634"/>
    <w:rsid w:val="47DC6DC1"/>
    <w:rsid w:val="47DF5975"/>
    <w:rsid w:val="47E010AE"/>
    <w:rsid w:val="47E34E61"/>
    <w:rsid w:val="47EA64B8"/>
    <w:rsid w:val="47EF11C2"/>
    <w:rsid w:val="47F2327C"/>
    <w:rsid w:val="47F60690"/>
    <w:rsid w:val="47FA5621"/>
    <w:rsid w:val="48102374"/>
    <w:rsid w:val="482B3DE5"/>
    <w:rsid w:val="482E156C"/>
    <w:rsid w:val="483264E1"/>
    <w:rsid w:val="48434036"/>
    <w:rsid w:val="484776A0"/>
    <w:rsid w:val="484818E5"/>
    <w:rsid w:val="484E266E"/>
    <w:rsid w:val="484E3184"/>
    <w:rsid w:val="485025C3"/>
    <w:rsid w:val="485212B4"/>
    <w:rsid w:val="48552E8B"/>
    <w:rsid w:val="48567AA6"/>
    <w:rsid w:val="48597467"/>
    <w:rsid w:val="48752DC7"/>
    <w:rsid w:val="4878494C"/>
    <w:rsid w:val="487D23AF"/>
    <w:rsid w:val="487E5F02"/>
    <w:rsid w:val="488B2925"/>
    <w:rsid w:val="489073D7"/>
    <w:rsid w:val="48945538"/>
    <w:rsid w:val="489815DE"/>
    <w:rsid w:val="489D7479"/>
    <w:rsid w:val="489E7C8E"/>
    <w:rsid w:val="48A70558"/>
    <w:rsid w:val="48B16EF2"/>
    <w:rsid w:val="48B55015"/>
    <w:rsid w:val="48B64BC4"/>
    <w:rsid w:val="48C13E0B"/>
    <w:rsid w:val="48C34373"/>
    <w:rsid w:val="48CB630E"/>
    <w:rsid w:val="48D15D80"/>
    <w:rsid w:val="48DA20DE"/>
    <w:rsid w:val="48DD435D"/>
    <w:rsid w:val="48E10A93"/>
    <w:rsid w:val="48E36F80"/>
    <w:rsid w:val="48E617C6"/>
    <w:rsid w:val="48E94062"/>
    <w:rsid w:val="48EF237B"/>
    <w:rsid w:val="48F00928"/>
    <w:rsid w:val="48F11282"/>
    <w:rsid w:val="48F1749F"/>
    <w:rsid w:val="48FC3C8F"/>
    <w:rsid w:val="48FF4E0B"/>
    <w:rsid w:val="49011A64"/>
    <w:rsid w:val="491058C5"/>
    <w:rsid w:val="4913074F"/>
    <w:rsid w:val="49136376"/>
    <w:rsid w:val="49332934"/>
    <w:rsid w:val="494152B0"/>
    <w:rsid w:val="494555EC"/>
    <w:rsid w:val="49515DDB"/>
    <w:rsid w:val="4955613F"/>
    <w:rsid w:val="49585C74"/>
    <w:rsid w:val="495B3ABD"/>
    <w:rsid w:val="49610DC9"/>
    <w:rsid w:val="49614734"/>
    <w:rsid w:val="4966343B"/>
    <w:rsid w:val="496C2B99"/>
    <w:rsid w:val="496E2505"/>
    <w:rsid w:val="49761A07"/>
    <w:rsid w:val="49770B4F"/>
    <w:rsid w:val="4977105F"/>
    <w:rsid w:val="4978145F"/>
    <w:rsid w:val="497C37AC"/>
    <w:rsid w:val="49923FBE"/>
    <w:rsid w:val="49A12409"/>
    <w:rsid w:val="49B94542"/>
    <w:rsid w:val="49BA7C94"/>
    <w:rsid w:val="49BD4AD8"/>
    <w:rsid w:val="49BE775B"/>
    <w:rsid w:val="49C10C38"/>
    <w:rsid w:val="49C90443"/>
    <w:rsid w:val="49D113DE"/>
    <w:rsid w:val="49D264A7"/>
    <w:rsid w:val="49DC370B"/>
    <w:rsid w:val="49DE4BDA"/>
    <w:rsid w:val="49DF3BD4"/>
    <w:rsid w:val="49E61F10"/>
    <w:rsid w:val="49FB2AF1"/>
    <w:rsid w:val="4A020795"/>
    <w:rsid w:val="4A034EDD"/>
    <w:rsid w:val="4A075754"/>
    <w:rsid w:val="4A0A2099"/>
    <w:rsid w:val="4A0F0D55"/>
    <w:rsid w:val="4A147539"/>
    <w:rsid w:val="4A1730D0"/>
    <w:rsid w:val="4A201A13"/>
    <w:rsid w:val="4A231F73"/>
    <w:rsid w:val="4A352D99"/>
    <w:rsid w:val="4A395254"/>
    <w:rsid w:val="4A414731"/>
    <w:rsid w:val="4A456F1C"/>
    <w:rsid w:val="4A5764A8"/>
    <w:rsid w:val="4A5F0B11"/>
    <w:rsid w:val="4A6F7C4A"/>
    <w:rsid w:val="4A73153A"/>
    <w:rsid w:val="4A771025"/>
    <w:rsid w:val="4A824564"/>
    <w:rsid w:val="4A8529C1"/>
    <w:rsid w:val="4A957C5E"/>
    <w:rsid w:val="4AA550DB"/>
    <w:rsid w:val="4ABD3A27"/>
    <w:rsid w:val="4AC4604F"/>
    <w:rsid w:val="4AD1302E"/>
    <w:rsid w:val="4AD70AF9"/>
    <w:rsid w:val="4ADA2678"/>
    <w:rsid w:val="4AE901C5"/>
    <w:rsid w:val="4AF8480F"/>
    <w:rsid w:val="4AFB5D5E"/>
    <w:rsid w:val="4AFD4598"/>
    <w:rsid w:val="4B110B23"/>
    <w:rsid w:val="4B117EA4"/>
    <w:rsid w:val="4B1A48D0"/>
    <w:rsid w:val="4B1B14FB"/>
    <w:rsid w:val="4B1C5089"/>
    <w:rsid w:val="4B21776F"/>
    <w:rsid w:val="4B22045B"/>
    <w:rsid w:val="4B27072D"/>
    <w:rsid w:val="4B291F6C"/>
    <w:rsid w:val="4B3573BA"/>
    <w:rsid w:val="4B3D4268"/>
    <w:rsid w:val="4B3D7EBC"/>
    <w:rsid w:val="4B3E0B23"/>
    <w:rsid w:val="4B4515B9"/>
    <w:rsid w:val="4B471200"/>
    <w:rsid w:val="4B4D1170"/>
    <w:rsid w:val="4B532693"/>
    <w:rsid w:val="4B5E0B87"/>
    <w:rsid w:val="4B6067C0"/>
    <w:rsid w:val="4B72340B"/>
    <w:rsid w:val="4B7E0D8D"/>
    <w:rsid w:val="4B816AF0"/>
    <w:rsid w:val="4B85334C"/>
    <w:rsid w:val="4B873517"/>
    <w:rsid w:val="4B8A07EE"/>
    <w:rsid w:val="4B9451A8"/>
    <w:rsid w:val="4B962A35"/>
    <w:rsid w:val="4BA24769"/>
    <w:rsid w:val="4BAF3613"/>
    <w:rsid w:val="4BB54D88"/>
    <w:rsid w:val="4BB760CE"/>
    <w:rsid w:val="4BC22889"/>
    <w:rsid w:val="4BCF615D"/>
    <w:rsid w:val="4BD02C55"/>
    <w:rsid w:val="4BD82DF4"/>
    <w:rsid w:val="4BDF4C20"/>
    <w:rsid w:val="4BE9776A"/>
    <w:rsid w:val="4BEE00F7"/>
    <w:rsid w:val="4BEE1B38"/>
    <w:rsid w:val="4BF01536"/>
    <w:rsid w:val="4BFB47C8"/>
    <w:rsid w:val="4C122D27"/>
    <w:rsid w:val="4C162B10"/>
    <w:rsid w:val="4C1762B7"/>
    <w:rsid w:val="4C1C2DE8"/>
    <w:rsid w:val="4C1F5344"/>
    <w:rsid w:val="4C2F1BB6"/>
    <w:rsid w:val="4C390B61"/>
    <w:rsid w:val="4C4D56C6"/>
    <w:rsid w:val="4C51422D"/>
    <w:rsid w:val="4C5729F5"/>
    <w:rsid w:val="4C5A0759"/>
    <w:rsid w:val="4C675B0D"/>
    <w:rsid w:val="4C6C4D86"/>
    <w:rsid w:val="4C6E4987"/>
    <w:rsid w:val="4C744817"/>
    <w:rsid w:val="4C7B4A18"/>
    <w:rsid w:val="4C8A0079"/>
    <w:rsid w:val="4C8C5F8B"/>
    <w:rsid w:val="4C913CBA"/>
    <w:rsid w:val="4C916DB5"/>
    <w:rsid w:val="4C960B95"/>
    <w:rsid w:val="4C9F3EA7"/>
    <w:rsid w:val="4CA0102B"/>
    <w:rsid w:val="4CD06289"/>
    <w:rsid w:val="4CDE743E"/>
    <w:rsid w:val="4CE456B2"/>
    <w:rsid w:val="4CE93C03"/>
    <w:rsid w:val="4CED5CB5"/>
    <w:rsid w:val="4CFA35F3"/>
    <w:rsid w:val="4CFE6852"/>
    <w:rsid w:val="4D006B00"/>
    <w:rsid w:val="4D025EE2"/>
    <w:rsid w:val="4D0923F6"/>
    <w:rsid w:val="4D0B318B"/>
    <w:rsid w:val="4D0C576B"/>
    <w:rsid w:val="4D0D6891"/>
    <w:rsid w:val="4D1072B6"/>
    <w:rsid w:val="4D1139C9"/>
    <w:rsid w:val="4D17568F"/>
    <w:rsid w:val="4D1B403C"/>
    <w:rsid w:val="4D1C33ED"/>
    <w:rsid w:val="4D1F6001"/>
    <w:rsid w:val="4D207770"/>
    <w:rsid w:val="4D293BE0"/>
    <w:rsid w:val="4D2C78DA"/>
    <w:rsid w:val="4D3D5433"/>
    <w:rsid w:val="4D422E8D"/>
    <w:rsid w:val="4D47264A"/>
    <w:rsid w:val="4D5A6FE0"/>
    <w:rsid w:val="4D607950"/>
    <w:rsid w:val="4D627232"/>
    <w:rsid w:val="4D652E05"/>
    <w:rsid w:val="4D6C5B10"/>
    <w:rsid w:val="4D775918"/>
    <w:rsid w:val="4D7C5E0E"/>
    <w:rsid w:val="4D960591"/>
    <w:rsid w:val="4D9933AF"/>
    <w:rsid w:val="4D9C0AF8"/>
    <w:rsid w:val="4DA169F2"/>
    <w:rsid w:val="4DA51305"/>
    <w:rsid w:val="4DA70C8A"/>
    <w:rsid w:val="4DAC0217"/>
    <w:rsid w:val="4DB0788A"/>
    <w:rsid w:val="4DB422E3"/>
    <w:rsid w:val="4DB62A8C"/>
    <w:rsid w:val="4DB852A8"/>
    <w:rsid w:val="4DBF737A"/>
    <w:rsid w:val="4DC15F14"/>
    <w:rsid w:val="4DC83D45"/>
    <w:rsid w:val="4DD27048"/>
    <w:rsid w:val="4DD7523E"/>
    <w:rsid w:val="4DE04D4B"/>
    <w:rsid w:val="4DE24CF3"/>
    <w:rsid w:val="4DE64479"/>
    <w:rsid w:val="4DE73E5F"/>
    <w:rsid w:val="4DE85FE9"/>
    <w:rsid w:val="4DF11DBB"/>
    <w:rsid w:val="4E155F92"/>
    <w:rsid w:val="4E185DF1"/>
    <w:rsid w:val="4E1F70CB"/>
    <w:rsid w:val="4E273923"/>
    <w:rsid w:val="4E3067D3"/>
    <w:rsid w:val="4E383332"/>
    <w:rsid w:val="4E477E86"/>
    <w:rsid w:val="4E4824B6"/>
    <w:rsid w:val="4E4A3612"/>
    <w:rsid w:val="4E4D00D6"/>
    <w:rsid w:val="4E504DF2"/>
    <w:rsid w:val="4E553FE5"/>
    <w:rsid w:val="4E5C22A4"/>
    <w:rsid w:val="4E5D3E6F"/>
    <w:rsid w:val="4E6424BC"/>
    <w:rsid w:val="4E661998"/>
    <w:rsid w:val="4E683358"/>
    <w:rsid w:val="4E6B2E4F"/>
    <w:rsid w:val="4E6D51CE"/>
    <w:rsid w:val="4E811D71"/>
    <w:rsid w:val="4E8276C3"/>
    <w:rsid w:val="4E8473D4"/>
    <w:rsid w:val="4E8717B9"/>
    <w:rsid w:val="4E9533FF"/>
    <w:rsid w:val="4E960EDB"/>
    <w:rsid w:val="4E964EBA"/>
    <w:rsid w:val="4E98597B"/>
    <w:rsid w:val="4E9B432D"/>
    <w:rsid w:val="4E9D3398"/>
    <w:rsid w:val="4E9D43BD"/>
    <w:rsid w:val="4EA14868"/>
    <w:rsid w:val="4EB85400"/>
    <w:rsid w:val="4EBC6BCC"/>
    <w:rsid w:val="4EC01B77"/>
    <w:rsid w:val="4EC14E3F"/>
    <w:rsid w:val="4EC4379F"/>
    <w:rsid w:val="4EC466E0"/>
    <w:rsid w:val="4EDE3803"/>
    <w:rsid w:val="4EDF5355"/>
    <w:rsid w:val="4EE353D7"/>
    <w:rsid w:val="4EE35B9A"/>
    <w:rsid w:val="4EE478F9"/>
    <w:rsid w:val="4EF568A7"/>
    <w:rsid w:val="4EF73300"/>
    <w:rsid w:val="4EF910CD"/>
    <w:rsid w:val="4EFB5B2F"/>
    <w:rsid w:val="4EFB5BBF"/>
    <w:rsid w:val="4F007FAB"/>
    <w:rsid w:val="4F0C196B"/>
    <w:rsid w:val="4F0D324A"/>
    <w:rsid w:val="4F0F155E"/>
    <w:rsid w:val="4F101913"/>
    <w:rsid w:val="4F106B7A"/>
    <w:rsid w:val="4F144655"/>
    <w:rsid w:val="4F1A2A99"/>
    <w:rsid w:val="4F251427"/>
    <w:rsid w:val="4F2933A5"/>
    <w:rsid w:val="4F2C20B3"/>
    <w:rsid w:val="4F2D08AA"/>
    <w:rsid w:val="4F2D66E0"/>
    <w:rsid w:val="4F2E6EF7"/>
    <w:rsid w:val="4F4515F4"/>
    <w:rsid w:val="4F5B627F"/>
    <w:rsid w:val="4F5E15E3"/>
    <w:rsid w:val="4F612B3C"/>
    <w:rsid w:val="4F6D4B42"/>
    <w:rsid w:val="4F6F0EE8"/>
    <w:rsid w:val="4F7E615D"/>
    <w:rsid w:val="4F7F0FA1"/>
    <w:rsid w:val="4F7F40FE"/>
    <w:rsid w:val="4F863967"/>
    <w:rsid w:val="4F8A5CF8"/>
    <w:rsid w:val="4F8C6F2A"/>
    <w:rsid w:val="4F8F7B21"/>
    <w:rsid w:val="4F99479F"/>
    <w:rsid w:val="4FA26012"/>
    <w:rsid w:val="4FA37883"/>
    <w:rsid w:val="4FB175B4"/>
    <w:rsid w:val="4FB716BB"/>
    <w:rsid w:val="4FBF65CE"/>
    <w:rsid w:val="4FC07FE3"/>
    <w:rsid w:val="4FC761E9"/>
    <w:rsid w:val="4FD278A4"/>
    <w:rsid w:val="4FEB55E4"/>
    <w:rsid w:val="4FFA3D99"/>
    <w:rsid w:val="4FFE4DE2"/>
    <w:rsid w:val="50034EBF"/>
    <w:rsid w:val="5007148F"/>
    <w:rsid w:val="500D4D1E"/>
    <w:rsid w:val="501405A8"/>
    <w:rsid w:val="50154925"/>
    <w:rsid w:val="501E72C9"/>
    <w:rsid w:val="50233F5A"/>
    <w:rsid w:val="5028524C"/>
    <w:rsid w:val="503444FE"/>
    <w:rsid w:val="50353582"/>
    <w:rsid w:val="503D6772"/>
    <w:rsid w:val="503F4A9F"/>
    <w:rsid w:val="504C3C83"/>
    <w:rsid w:val="505006DF"/>
    <w:rsid w:val="50501A45"/>
    <w:rsid w:val="50600E6E"/>
    <w:rsid w:val="5069775C"/>
    <w:rsid w:val="506C210E"/>
    <w:rsid w:val="506C3081"/>
    <w:rsid w:val="506C41CD"/>
    <w:rsid w:val="506D6A7A"/>
    <w:rsid w:val="506F6F58"/>
    <w:rsid w:val="5072688D"/>
    <w:rsid w:val="50771094"/>
    <w:rsid w:val="507B581F"/>
    <w:rsid w:val="507C1868"/>
    <w:rsid w:val="508308F0"/>
    <w:rsid w:val="50866038"/>
    <w:rsid w:val="508A0A0E"/>
    <w:rsid w:val="509C2DD0"/>
    <w:rsid w:val="509D1532"/>
    <w:rsid w:val="509F7B23"/>
    <w:rsid w:val="50A548A1"/>
    <w:rsid w:val="50A61DF5"/>
    <w:rsid w:val="50B0590F"/>
    <w:rsid w:val="50B50B78"/>
    <w:rsid w:val="50B7065D"/>
    <w:rsid w:val="50BF7C57"/>
    <w:rsid w:val="50C018A8"/>
    <w:rsid w:val="50D35F77"/>
    <w:rsid w:val="50D86D39"/>
    <w:rsid w:val="50DB02B3"/>
    <w:rsid w:val="50E527C1"/>
    <w:rsid w:val="50F213D8"/>
    <w:rsid w:val="50F25D5B"/>
    <w:rsid w:val="50F432AA"/>
    <w:rsid w:val="50F55A40"/>
    <w:rsid w:val="51057EB7"/>
    <w:rsid w:val="51071DD8"/>
    <w:rsid w:val="510A2E0D"/>
    <w:rsid w:val="510A629A"/>
    <w:rsid w:val="510C6DE0"/>
    <w:rsid w:val="51101AC9"/>
    <w:rsid w:val="51154098"/>
    <w:rsid w:val="51171A79"/>
    <w:rsid w:val="511A2AFC"/>
    <w:rsid w:val="511E2016"/>
    <w:rsid w:val="51221D61"/>
    <w:rsid w:val="5123119F"/>
    <w:rsid w:val="5123676F"/>
    <w:rsid w:val="51283DFD"/>
    <w:rsid w:val="512B6449"/>
    <w:rsid w:val="512C4EB9"/>
    <w:rsid w:val="512E5C4E"/>
    <w:rsid w:val="513060BD"/>
    <w:rsid w:val="513252D7"/>
    <w:rsid w:val="51380FD8"/>
    <w:rsid w:val="51394263"/>
    <w:rsid w:val="513968A8"/>
    <w:rsid w:val="51397AE5"/>
    <w:rsid w:val="513A13CC"/>
    <w:rsid w:val="513A23D1"/>
    <w:rsid w:val="514C5269"/>
    <w:rsid w:val="5155099C"/>
    <w:rsid w:val="515C654D"/>
    <w:rsid w:val="51600E02"/>
    <w:rsid w:val="51647D98"/>
    <w:rsid w:val="516A1B35"/>
    <w:rsid w:val="516D5E81"/>
    <w:rsid w:val="5175137E"/>
    <w:rsid w:val="51770895"/>
    <w:rsid w:val="517768DC"/>
    <w:rsid w:val="518308D5"/>
    <w:rsid w:val="51863EDE"/>
    <w:rsid w:val="518B48D4"/>
    <w:rsid w:val="519A5F67"/>
    <w:rsid w:val="519C003D"/>
    <w:rsid w:val="51AD660B"/>
    <w:rsid w:val="51B02D65"/>
    <w:rsid w:val="51B11134"/>
    <w:rsid w:val="51C521AB"/>
    <w:rsid w:val="51C71679"/>
    <w:rsid w:val="51C7553A"/>
    <w:rsid w:val="51CA47B2"/>
    <w:rsid w:val="51CE6328"/>
    <w:rsid w:val="51CF309A"/>
    <w:rsid w:val="51DA4591"/>
    <w:rsid w:val="51DA6866"/>
    <w:rsid w:val="51E70DA9"/>
    <w:rsid w:val="51EF08D3"/>
    <w:rsid w:val="51F729D9"/>
    <w:rsid w:val="51FE1F51"/>
    <w:rsid w:val="52022459"/>
    <w:rsid w:val="520414F1"/>
    <w:rsid w:val="5211462D"/>
    <w:rsid w:val="52125920"/>
    <w:rsid w:val="52131359"/>
    <w:rsid w:val="52165CA5"/>
    <w:rsid w:val="522154B6"/>
    <w:rsid w:val="522B0928"/>
    <w:rsid w:val="522B4F52"/>
    <w:rsid w:val="522F3F71"/>
    <w:rsid w:val="52363B4B"/>
    <w:rsid w:val="52366F3F"/>
    <w:rsid w:val="52392A29"/>
    <w:rsid w:val="523D0D2D"/>
    <w:rsid w:val="523E616D"/>
    <w:rsid w:val="52402C77"/>
    <w:rsid w:val="52404BE0"/>
    <w:rsid w:val="52442651"/>
    <w:rsid w:val="524A104D"/>
    <w:rsid w:val="524A614E"/>
    <w:rsid w:val="5259059E"/>
    <w:rsid w:val="525F433E"/>
    <w:rsid w:val="526C08EF"/>
    <w:rsid w:val="5270207E"/>
    <w:rsid w:val="527E3917"/>
    <w:rsid w:val="527F1808"/>
    <w:rsid w:val="528606B8"/>
    <w:rsid w:val="528878B3"/>
    <w:rsid w:val="52933A02"/>
    <w:rsid w:val="529B7DE7"/>
    <w:rsid w:val="52A332CC"/>
    <w:rsid w:val="52AB2A72"/>
    <w:rsid w:val="52B17FAF"/>
    <w:rsid w:val="52B23FD6"/>
    <w:rsid w:val="52B35DDF"/>
    <w:rsid w:val="52BC106B"/>
    <w:rsid w:val="52BE21D5"/>
    <w:rsid w:val="52BF57B4"/>
    <w:rsid w:val="52C03752"/>
    <w:rsid w:val="52C7051A"/>
    <w:rsid w:val="52CA6D3A"/>
    <w:rsid w:val="52CF298B"/>
    <w:rsid w:val="52D01A43"/>
    <w:rsid w:val="52D574EB"/>
    <w:rsid w:val="52D74923"/>
    <w:rsid w:val="52DB3373"/>
    <w:rsid w:val="52DB3E1C"/>
    <w:rsid w:val="52DD2C8B"/>
    <w:rsid w:val="52E932E5"/>
    <w:rsid w:val="52EC633A"/>
    <w:rsid w:val="52ED0230"/>
    <w:rsid w:val="52F249FD"/>
    <w:rsid w:val="52FA7EDA"/>
    <w:rsid w:val="530159F9"/>
    <w:rsid w:val="530A426C"/>
    <w:rsid w:val="531607D5"/>
    <w:rsid w:val="53181153"/>
    <w:rsid w:val="53184D16"/>
    <w:rsid w:val="531B7189"/>
    <w:rsid w:val="531D0555"/>
    <w:rsid w:val="531D550D"/>
    <w:rsid w:val="53266571"/>
    <w:rsid w:val="532925D7"/>
    <w:rsid w:val="532A121E"/>
    <w:rsid w:val="533773D4"/>
    <w:rsid w:val="534431C8"/>
    <w:rsid w:val="53490982"/>
    <w:rsid w:val="534B3308"/>
    <w:rsid w:val="534B41E3"/>
    <w:rsid w:val="534D0A86"/>
    <w:rsid w:val="535200FD"/>
    <w:rsid w:val="53597E3F"/>
    <w:rsid w:val="53676D6E"/>
    <w:rsid w:val="53691EC4"/>
    <w:rsid w:val="536F73E2"/>
    <w:rsid w:val="53817275"/>
    <w:rsid w:val="538258A3"/>
    <w:rsid w:val="538758B7"/>
    <w:rsid w:val="53883945"/>
    <w:rsid w:val="538B3956"/>
    <w:rsid w:val="538C6823"/>
    <w:rsid w:val="539224E6"/>
    <w:rsid w:val="5399722D"/>
    <w:rsid w:val="539E5B54"/>
    <w:rsid w:val="539E61D1"/>
    <w:rsid w:val="53A340AF"/>
    <w:rsid w:val="53AA24B0"/>
    <w:rsid w:val="53AC1539"/>
    <w:rsid w:val="53B62D31"/>
    <w:rsid w:val="53B82F4E"/>
    <w:rsid w:val="53CD45D9"/>
    <w:rsid w:val="53CE5A09"/>
    <w:rsid w:val="53D657E3"/>
    <w:rsid w:val="53D666CF"/>
    <w:rsid w:val="53D75B2F"/>
    <w:rsid w:val="53D86CAF"/>
    <w:rsid w:val="53E94436"/>
    <w:rsid w:val="53EE0D74"/>
    <w:rsid w:val="53EE1F9C"/>
    <w:rsid w:val="53F162B5"/>
    <w:rsid w:val="54017F19"/>
    <w:rsid w:val="540C7DAA"/>
    <w:rsid w:val="540E1489"/>
    <w:rsid w:val="54186F6B"/>
    <w:rsid w:val="54281904"/>
    <w:rsid w:val="54315712"/>
    <w:rsid w:val="5432655E"/>
    <w:rsid w:val="54387BE4"/>
    <w:rsid w:val="543D383C"/>
    <w:rsid w:val="5444132C"/>
    <w:rsid w:val="544906D5"/>
    <w:rsid w:val="54496306"/>
    <w:rsid w:val="544A5E48"/>
    <w:rsid w:val="54515166"/>
    <w:rsid w:val="54575838"/>
    <w:rsid w:val="546477CC"/>
    <w:rsid w:val="5465466C"/>
    <w:rsid w:val="546E665A"/>
    <w:rsid w:val="54783274"/>
    <w:rsid w:val="547C7E0A"/>
    <w:rsid w:val="54873DB3"/>
    <w:rsid w:val="5488570D"/>
    <w:rsid w:val="548E2A36"/>
    <w:rsid w:val="548F670D"/>
    <w:rsid w:val="5491247A"/>
    <w:rsid w:val="5493468B"/>
    <w:rsid w:val="549802EE"/>
    <w:rsid w:val="549837F2"/>
    <w:rsid w:val="54984B9E"/>
    <w:rsid w:val="549967E3"/>
    <w:rsid w:val="54A242AE"/>
    <w:rsid w:val="54A427C6"/>
    <w:rsid w:val="54AB11DC"/>
    <w:rsid w:val="54AB5215"/>
    <w:rsid w:val="54B30C59"/>
    <w:rsid w:val="54B500A7"/>
    <w:rsid w:val="54B90F4B"/>
    <w:rsid w:val="54C5774C"/>
    <w:rsid w:val="54C7704A"/>
    <w:rsid w:val="54C95541"/>
    <w:rsid w:val="54D311DA"/>
    <w:rsid w:val="54D3504D"/>
    <w:rsid w:val="54DA202E"/>
    <w:rsid w:val="54DF398A"/>
    <w:rsid w:val="54F37228"/>
    <w:rsid w:val="54FA4A54"/>
    <w:rsid w:val="54FD3476"/>
    <w:rsid w:val="54FE7C59"/>
    <w:rsid w:val="55071446"/>
    <w:rsid w:val="550E3C3A"/>
    <w:rsid w:val="5519481B"/>
    <w:rsid w:val="551C340F"/>
    <w:rsid w:val="55240479"/>
    <w:rsid w:val="552B1627"/>
    <w:rsid w:val="55422A5A"/>
    <w:rsid w:val="554576B0"/>
    <w:rsid w:val="55494AE2"/>
    <w:rsid w:val="5550673B"/>
    <w:rsid w:val="5552413A"/>
    <w:rsid w:val="55591FB7"/>
    <w:rsid w:val="556475F8"/>
    <w:rsid w:val="556A1B04"/>
    <w:rsid w:val="55827C90"/>
    <w:rsid w:val="55831A52"/>
    <w:rsid w:val="55863427"/>
    <w:rsid w:val="559724FC"/>
    <w:rsid w:val="55996BA2"/>
    <w:rsid w:val="55A30FF6"/>
    <w:rsid w:val="55A91E5B"/>
    <w:rsid w:val="55AB4579"/>
    <w:rsid w:val="55AD6E71"/>
    <w:rsid w:val="55B54F66"/>
    <w:rsid w:val="55BD3394"/>
    <w:rsid w:val="55C23B2D"/>
    <w:rsid w:val="55C66005"/>
    <w:rsid w:val="55C73D15"/>
    <w:rsid w:val="55CC2ECD"/>
    <w:rsid w:val="55CF1741"/>
    <w:rsid w:val="55D224C7"/>
    <w:rsid w:val="55D50E83"/>
    <w:rsid w:val="55DC077A"/>
    <w:rsid w:val="55DF7840"/>
    <w:rsid w:val="55E32653"/>
    <w:rsid w:val="55E350C2"/>
    <w:rsid w:val="55FE143E"/>
    <w:rsid w:val="560564AB"/>
    <w:rsid w:val="5606277C"/>
    <w:rsid w:val="560A1A10"/>
    <w:rsid w:val="5617475D"/>
    <w:rsid w:val="561F5DB4"/>
    <w:rsid w:val="56307893"/>
    <w:rsid w:val="56312BE9"/>
    <w:rsid w:val="56317DDA"/>
    <w:rsid w:val="56325BBE"/>
    <w:rsid w:val="56327F0E"/>
    <w:rsid w:val="563920EE"/>
    <w:rsid w:val="564277C8"/>
    <w:rsid w:val="564869AE"/>
    <w:rsid w:val="56503874"/>
    <w:rsid w:val="56506B2A"/>
    <w:rsid w:val="56574277"/>
    <w:rsid w:val="565826AB"/>
    <w:rsid w:val="5666683A"/>
    <w:rsid w:val="566F63C3"/>
    <w:rsid w:val="5670797A"/>
    <w:rsid w:val="56720AD5"/>
    <w:rsid w:val="567E02F2"/>
    <w:rsid w:val="56985AC8"/>
    <w:rsid w:val="56A61BD0"/>
    <w:rsid w:val="56A7680F"/>
    <w:rsid w:val="56BB704E"/>
    <w:rsid w:val="56BD4C06"/>
    <w:rsid w:val="56CB176F"/>
    <w:rsid w:val="56D14C11"/>
    <w:rsid w:val="56D3671B"/>
    <w:rsid w:val="56DB7451"/>
    <w:rsid w:val="56DF1E41"/>
    <w:rsid w:val="56E15BC8"/>
    <w:rsid w:val="56E21224"/>
    <w:rsid w:val="56E822CD"/>
    <w:rsid w:val="56EC4B78"/>
    <w:rsid w:val="56F807FF"/>
    <w:rsid w:val="5707447C"/>
    <w:rsid w:val="57126791"/>
    <w:rsid w:val="57250BF5"/>
    <w:rsid w:val="572F0DDF"/>
    <w:rsid w:val="57320CD2"/>
    <w:rsid w:val="57383901"/>
    <w:rsid w:val="573A703B"/>
    <w:rsid w:val="573E7D64"/>
    <w:rsid w:val="573F0A52"/>
    <w:rsid w:val="575174D2"/>
    <w:rsid w:val="575B3640"/>
    <w:rsid w:val="576111E5"/>
    <w:rsid w:val="57771AAE"/>
    <w:rsid w:val="57772693"/>
    <w:rsid w:val="577B58C1"/>
    <w:rsid w:val="57817AA6"/>
    <w:rsid w:val="578C6AF6"/>
    <w:rsid w:val="579010E4"/>
    <w:rsid w:val="57943946"/>
    <w:rsid w:val="57967CD3"/>
    <w:rsid w:val="57982B2B"/>
    <w:rsid w:val="579A099F"/>
    <w:rsid w:val="579B0A3E"/>
    <w:rsid w:val="57AD2344"/>
    <w:rsid w:val="57AD2AE0"/>
    <w:rsid w:val="57AE3FC0"/>
    <w:rsid w:val="57B1076F"/>
    <w:rsid w:val="57B40A61"/>
    <w:rsid w:val="57B75098"/>
    <w:rsid w:val="57BA16E1"/>
    <w:rsid w:val="57BA21B7"/>
    <w:rsid w:val="57BF22E2"/>
    <w:rsid w:val="57C10550"/>
    <w:rsid w:val="57C31672"/>
    <w:rsid w:val="57C5537E"/>
    <w:rsid w:val="57C71DED"/>
    <w:rsid w:val="57CC1A2C"/>
    <w:rsid w:val="57CC6BF9"/>
    <w:rsid w:val="57D064B9"/>
    <w:rsid w:val="57D839A1"/>
    <w:rsid w:val="57DA642B"/>
    <w:rsid w:val="57EB11DC"/>
    <w:rsid w:val="57F0722B"/>
    <w:rsid w:val="57F25391"/>
    <w:rsid w:val="57F97569"/>
    <w:rsid w:val="57FA0A25"/>
    <w:rsid w:val="57FE738F"/>
    <w:rsid w:val="580C5F47"/>
    <w:rsid w:val="581004D8"/>
    <w:rsid w:val="58116D23"/>
    <w:rsid w:val="581205D5"/>
    <w:rsid w:val="58127BF5"/>
    <w:rsid w:val="581B374B"/>
    <w:rsid w:val="582965A4"/>
    <w:rsid w:val="58305D38"/>
    <w:rsid w:val="58313767"/>
    <w:rsid w:val="583423D9"/>
    <w:rsid w:val="58367B13"/>
    <w:rsid w:val="583B0E95"/>
    <w:rsid w:val="583E6AF4"/>
    <w:rsid w:val="58401FE2"/>
    <w:rsid w:val="58403847"/>
    <w:rsid w:val="58454189"/>
    <w:rsid w:val="584751F4"/>
    <w:rsid w:val="584D6AEF"/>
    <w:rsid w:val="58502179"/>
    <w:rsid w:val="585242D5"/>
    <w:rsid w:val="58563F3D"/>
    <w:rsid w:val="585A5CD7"/>
    <w:rsid w:val="585E0650"/>
    <w:rsid w:val="5862064D"/>
    <w:rsid w:val="58635865"/>
    <w:rsid w:val="58660413"/>
    <w:rsid w:val="586F3045"/>
    <w:rsid w:val="58725E9D"/>
    <w:rsid w:val="587F7E95"/>
    <w:rsid w:val="5880752F"/>
    <w:rsid w:val="58862C4D"/>
    <w:rsid w:val="58870C9C"/>
    <w:rsid w:val="58933B54"/>
    <w:rsid w:val="58990456"/>
    <w:rsid w:val="589B7C1D"/>
    <w:rsid w:val="589F43E0"/>
    <w:rsid w:val="58A25B74"/>
    <w:rsid w:val="58A50E46"/>
    <w:rsid w:val="58AA1DA9"/>
    <w:rsid w:val="58AC124D"/>
    <w:rsid w:val="58B32308"/>
    <w:rsid w:val="58B634ED"/>
    <w:rsid w:val="58BD184C"/>
    <w:rsid w:val="58C8626D"/>
    <w:rsid w:val="58C86DA8"/>
    <w:rsid w:val="58D20B8D"/>
    <w:rsid w:val="58D77141"/>
    <w:rsid w:val="58DB1389"/>
    <w:rsid w:val="58DB3DD2"/>
    <w:rsid w:val="58DD4C9F"/>
    <w:rsid w:val="58E3503B"/>
    <w:rsid w:val="58EA17F3"/>
    <w:rsid w:val="58F1603E"/>
    <w:rsid w:val="58F45F89"/>
    <w:rsid w:val="58FC3E41"/>
    <w:rsid w:val="58FC5C9C"/>
    <w:rsid w:val="590011D5"/>
    <w:rsid w:val="59012498"/>
    <w:rsid w:val="59033671"/>
    <w:rsid w:val="5905191C"/>
    <w:rsid w:val="59087B11"/>
    <w:rsid w:val="590F32CC"/>
    <w:rsid w:val="591113AE"/>
    <w:rsid w:val="59132201"/>
    <w:rsid w:val="59157E70"/>
    <w:rsid w:val="591A55CB"/>
    <w:rsid w:val="592301EE"/>
    <w:rsid w:val="59234C08"/>
    <w:rsid w:val="59271977"/>
    <w:rsid w:val="592A701B"/>
    <w:rsid w:val="592C51FB"/>
    <w:rsid w:val="59371165"/>
    <w:rsid w:val="593A7413"/>
    <w:rsid w:val="593F6FA7"/>
    <w:rsid w:val="59405407"/>
    <w:rsid w:val="594A2997"/>
    <w:rsid w:val="594D29EA"/>
    <w:rsid w:val="594F7028"/>
    <w:rsid w:val="5951560C"/>
    <w:rsid w:val="59535858"/>
    <w:rsid w:val="595A1436"/>
    <w:rsid w:val="595C09FE"/>
    <w:rsid w:val="595C76A9"/>
    <w:rsid w:val="595D24FD"/>
    <w:rsid w:val="595F395E"/>
    <w:rsid w:val="596102C6"/>
    <w:rsid w:val="596676DE"/>
    <w:rsid w:val="596A2030"/>
    <w:rsid w:val="596A6A03"/>
    <w:rsid w:val="5973006A"/>
    <w:rsid w:val="59745E1E"/>
    <w:rsid w:val="597578FD"/>
    <w:rsid w:val="597E3090"/>
    <w:rsid w:val="598B052C"/>
    <w:rsid w:val="599C0608"/>
    <w:rsid w:val="59A4129E"/>
    <w:rsid w:val="59A842BD"/>
    <w:rsid w:val="59B364E1"/>
    <w:rsid w:val="59C4158F"/>
    <w:rsid w:val="59C504B8"/>
    <w:rsid w:val="59CF2108"/>
    <w:rsid w:val="59DA598B"/>
    <w:rsid w:val="59E13CE6"/>
    <w:rsid w:val="59E35EAB"/>
    <w:rsid w:val="59E671DE"/>
    <w:rsid w:val="59EB2C83"/>
    <w:rsid w:val="59EB3CDE"/>
    <w:rsid w:val="59F23EA6"/>
    <w:rsid w:val="59F44BBA"/>
    <w:rsid w:val="59F51E73"/>
    <w:rsid w:val="59FC3587"/>
    <w:rsid w:val="5A00257C"/>
    <w:rsid w:val="5A041568"/>
    <w:rsid w:val="5A075BFE"/>
    <w:rsid w:val="5A0E2FE7"/>
    <w:rsid w:val="5A177F43"/>
    <w:rsid w:val="5A2D572C"/>
    <w:rsid w:val="5A2F59F5"/>
    <w:rsid w:val="5A311340"/>
    <w:rsid w:val="5A342210"/>
    <w:rsid w:val="5A385B44"/>
    <w:rsid w:val="5A391C74"/>
    <w:rsid w:val="5A3E4E9A"/>
    <w:rsid w:val="5A437E9E"/>
    <w:rsid w:val="5A444B84"/>
    <w:rsid w:val="5A447119"/>
    <w:rsid w:val="5A457FD4"/>
    <w:rsid w:val="5A4850A1"/>
    <w:rsid w:val="5A4F6DF3"/>
    <w:rsid w:val="5A4F7C9B"/>
    <w:rsid w:val="5A5B4BAC"/>
    <w:rsid w:val="5A5C58F2"/>
    <w:rsid w:val="5A670ED1"/>
    <w:rsid w:val="5A681BD3"/>
    <w:rsid w:val="5A696DA2"/>
    <w:rsid w:val="5A6B1A87"/>
    <w:rsid w:val="5A6D1CBF"/>
    <w:rsid w:val="5A6D58AF"/>
    <w:rsid w:val="5A6E1AAC"/>
    <w:rsid w:val="5A7902AE"/>
    <w:rsid w:val="5A7A18A4"/>
    <w:rsid w:val="5A7C1DA6"/>
    <w:rsid w:val="5A82285B"/>
    <w:rsid w:val="5A8F3683"/>
    <w:rsid w:val="5A9804A6"/>
    <w:rsid w:val="5A981875"/>
    <w:rsid w:val="5AA23637"/>
    <w:rsid w:val="5AA35807"/>
    <w:rsid w:val="5AA906AB"/>
    <w:rsid w:val="5AAC7BD0"/>
    <w:rsid w:val="5AB03BCB"/>
    <w:rsid w:val="5AB31659"/>
    <w:rsid w:val="5AB41D58"/>
    <w:rsid w:val="5ABA225C"/>
    <w:rsid w:val="5AC04291"/>
    <w:rsid w:val="5AC159B3"/>
    <w:rsid w:val="5AC41A5C"/>
    <w:rsid w:val="5AD07AF5"/>
    <w:rsid w:val="5AD45641"/>
    <w:rsid w:val="5AD557A4"/>
    <w:rsid w:val="5AE44643"/>
    <w:rsid w:val="5AEA1A26"/>
    <w:rsid w:val="5AF41637"/>
    <w:rsid w:val="5AFA38D3"/>
    <w:rsid w:val="5B01563B"/>
    <w:rsid w:val="5B06290E"/>
    <w:rsid w:val="5B074DC5"/>
    <w:rsid w:val="5B0E39F9"/>
    <w:rsid w:val="5B1152FE"/>
    <w:rsid w:val="5B1921F2"/>
    <w:rsid w:val="5B2364C0"/>
    <w:rsid w:val="5B2D19A4"/>
    <w:rsid w:val="5B3C018F"/>
    <w:rsid w:val="5B3F4B7D"/>
    <w:rsid w:val="5B40467A"/>
    <w:rsid w:val="5B442B8E"/>
    <w:rsid w:val="5B4C4478"/>
    <w:rsid w:val="5B5450C6"/>
    <w:rsid w:val="5B580AA9"/>
    <w:rsid w:val="5B5966FB"/>
    <w:rsid w:val="5B5E33C9"/>
    <w:rsid w:val="5B5F5412"/>
    <w:rsid w:val="5B7C7930"/>
    <w:rsid w:val="5B842A0F"/>
    <w:rsid w:val="5B8721A2"/>
    <w:rsid w:val="5B897706"/>
    <w:rsid w:val="5B8F6431"/>
    <w:rsid w:val="5B930ACF"/>
    <w:rsid w:val="5BA027D5"/>
    <w:rsid w:val="5BA34E37"/>
    <w:rsid w:val="5BA41EFC"/>
    <w:rsid w:val="5BA91F42"/>
    <w:rsid w:val="5BAB68EB"/>
    <w:rsid w:val="5BB5087F"/>
    <w:rsid w:val="5BC128D5"/>
    <w:rsid w:val="5BC44813"/>
    <w:rsid w:val="5BD34E5E"/>
    <w:rsid w:val="5BD90E6E"/>
    <w:rsid w:val="5BD9594E"/>
    <w:rsid w:val="5BDF0520"/>
    <w:rsid w:val="5BE379A2"/>
    <w:rsid w:val="5BE93378"/>
    <w:rsid w:val="5BEB0862"/>
    <w:rsid w:val="5BEB7520"/>
    <w:rsid w:val="5BF33169"/>
    <w:rsid w:val="5C0223E8"/>
    <w:rsid w:val="5C030EA9"/>
    <w:rsid w:val="5C0603DD"/>
    <w:rsid w:val="5C0F668D"/>
    <w:rsid w:val="5C170003"/>
    <w:rsid w:val="5C183ECE"/>
    <w:rsid w:val="5C1A3B54"/>
    <w:rsid w:val="5C1A5EA7"/>
    <w:rsid w:val="5C1E748B"/>
    <w:rsid w:val="5C1F3C14"/>
    <w:rsid w:val="5C2C265F"/>
    <w:rsid w:val="5C3360DC"/>
    <w:rsid w:val="5C357E6A"/>
    <w:rsid w:val="5C3B654C"/>
    <w:rsid w:val="5C415946"/>
    <w:rsid w:val="5C4A57CD"/>
    <w:rsid w:val="5C4C37F7"/>
    <w:rsid w:val="5C523254"/>
    <w:rsid w:val="5C534DF5"/>
    <w:rsid w:val="5C53690D"/>
    <w:rsid w:val="5C645E64"/>
    <w:rsid w:val="5C6545EB"/>
    <w:rsid w:val="5C676DD6"/>
    <w:rsid w:val="5C6D2A75"/>
    <w:rsid w:val="5C76215B"/>
    <w:rsid w:val="5C820E20"/>
    <w:rsid w:val="5C843340"/>
    <w:rsid w:val="5C966416"/>
    <w:rsid w:val="5C9B606C"/>
    <w:rsid w:val="5C9C33C6"/>
    <w:rsid w:val="5C9C5FDA"/>
    <w:rsid w:val="5CA2463E"/>
    <w:rsid w:val="5CA42BFD"/>
    <w:rsid w:val="5CA8187E"/>
    <w:rsid w:val="5CA971F5"/>
    <w:rsid w:val="5CAC0ED5"/>
    <w:rsid w:val="5CB01E08"/>
    <w:rsid w:val="5CB81E62"/>
    <w:rsid w:val="5CC362B1"/>
    <w:rsid w:val="5CC6673D"/>
    <w:rsid w:val="5CCC74D0"/>
    <w:rsid w:val="5CCE0DFF"/>
    <w:rsid w:val="5CD3309C"/>
    <w:rsid w:val="5CD34287"/>
    <w:rsid w:val="5CD95179"/>
    <w:rsid w:val="5CDF468A"/>
    <w:rsid w:val="5CF300DF"/>
    <w:rsid w:val="5CF46C23"/>
    <w:rsid w:val="5CF65F01"/>
    <w:rsid w:val="5CF70520"/>
    <w:rsid w:val="5CF73AED"/>
    <w:rsid w:val="5CF80314"/>
    <w:rsid w:val="5CFC6FE8"/>
    <w:rsid w:val="5CFD0CC8"/>
    <w:rsid w:val="5D220574"/>
    <w:rsid w:val="5D2327F0"/>
    <w:rsid w:val="5D2A2532"/>
    <w:rsid w:val="5D352E6D"/>
    <w:rsid w:val="5D355108"/>
    <w:rsid w:val="5D3C57AF"/>
    <w:rsid w:val="5D411F46"/>
    <w:rsid w:val="5D4B2C44"/>
    <w:rsid w:val="5D4C55FA"/>
    <w:rsid w:val="5D521DEE"/>
    <w:rsid w:val="5D54486B"/>
    <w:rsid w:val="5D5B3628"/>
    <w:rsid w:val="5D5E0DED"/>
    <w:rsid w:val="5D6377A9"/>
    <w:rsid w:val="5D675903"/>
    <w:rsid w:val="5D6C32A2"/>
    <w:rsid w:val="5D6E65F9"/>
    <w:rsid w:val="5D723DC8"/>
    <w:rsid w:val="5D812FCB"/>
    <w:rsid w:val="5D8153DB"/>
    <w:rsid w:val="5D841502"/>
    <w:rsid w:val="5D9303C3"/>
    <w:rsid w:val="5D973B04"/>
    <w:rsid w:val="5D9F6819"/>
    <w:rsid w:val="5DB252F0"/>
    <w:rsid w:val="5DB87B0C"/>
    <w:rsid w:val="5DBA7BAC"/>
    <w:rsid w:val="5DC654C8"/>
    <w:rsid w:val="5DC961E3"/>
    <w:rsid w:val="5DCA3C20"/>
    <w:rsid w:val="5DD04AA9"/>
    <w:rsid w:val="5DD64142"/>
    <w:rsid w:val="5DDA0AAB"/>
    <w:rsid w:val="5DDF0CC7"/>
    <w:rsid w:val="5DE2003B"/>
    <w:rsid w:val="5DE208AE"/>
    <w:rsid w:val="5DE94589"/>
    <w:rsid w:val="5DE97D60"/>
    <w:rsid w:val="5DEE34DE"/>
    <w:rsid w:val="5DF128EA"/>
    <w:rsid w:val="5DF2097E"/>
    <w:rsid w:val="5DF51901"/>
    <w:rsid w:val="5DFD3FF0"/>
    <w:rsid w:val="5DFF40DC"/>
    <w:rsid w:val="5E0247F5"/>
    <w:rsid w:val="5E0D4B10"/>
    <w:rsid w:val="5E1D1FF6"/>
    <w:rsid w:val="5E1E3695"/>
    <w:rsid w:val="5E28161D"/>
    <w:rsid w:val="5E3018F1"/>
    <w:rsid w:val="5E34077D"/>
    <w:rsid w:val="5E366DE2"/>
    <w:rsid w:val="5E367CC3"/>
    <w:rsid w:val="5E3C5A70"/>
    <w:rsid w:val="5E3D0B85"/>
    <w:rsid w:val="5E413317"/>
    <w:rsid w:val="5E434E23"/>
    <w:rsid w:val="5E4A2198"/>
    <w:rsid w:val="5E4D7168"/>
    <w:rsid w:val="5E4E160B"/>
    <w:rsid w:val="5E515BF5"/>
    <w:rsid w:val="5E583540"/>
    <w:rsid w:val="5E5E2338"/>
    <w:rsid w:val="5E5F718D"/>
    <w:rsid w:val="5E6E0E96"/>
    <w:rsid w:val="5E7A04B5"/>
    <w:rsid w:val="5E7A347B"/>
    <w:rsid w:val="5E7D2319"/>
    <w:rsid w:val="5E840A97"/>
    <w:rsid w:val="5E8C6775"/>
    <w:rsid w:val="5E8E0218"/>
    <w:rsid w:val="5E9035FD"/>
    <w:rsid w:val="5E930DE7"/>
    <w:rsid w:val="5E94181A"/>
    <w:rsid w:val="5E954BD0"/>
    <w:rsid w:val="5E970340"/>
    <w:rsid w:val="5E9A467C"/>
    <w:rsid w:val="5E9F2BCF"/>
    <w:rsid w:val="5EB23D82"/>
    <w:rsid w:val="5EB342E1"/>
    <w:rsid w:val="5EBA1134"/>
    <w:rsid w:val="5EBF68F8"/>
    <w:rsid w:val="5EC17B0D"/>
    <w:rsid w:val="5EC611C0"/>
    <w:rsid w:val="5ECE62E4"/>
    <w:rsid w:val="5ED34337"/>
    <w:rsid w:val="5ED42061"/>
    <w:rsid w:val="5EDF47B2"/>
    <w:rsid w:val="5EE43292"/>
    <w:rsid w:val="5EE529D2"/>
    <w:rsid w:val="5EE96E9B"/>
    <w:rsid w:val="5EEF571B"/>
    <w:rsid w:val="5EF34CF2"/>
    <w:rsid w:val="5EF34FB4"/>
    <w:rsid w:val="5EF3536D"/>
    <w:rsid w:val="5EFD2AC0"/>
    <w:rsid w:val="5F054B02"/>
    <w:rsid w:val="5F0E665E"/>
    <w:rsid w:val="5F167756"/>
    <w:rsid w:val="5F1A3A3E"/>
    <w:rsid w:val="5F1A7472"/>
    <w:rsid w:val="5F210AC6"/>
    <w:rsid w:val="5F2127CC"/>
    <w:rsid w:val="5F3121EB"/>
    <w:rsid w:val="5F391DA6"/>
    <w:rsid w:val="5F3B1090"/>
    <w:rsid w:val="5F483909"/>
    <w:rsid w:val="5F504822"/>
    <w:rsid w:val="5F504A90"/>
    <w:rsid w:val="5F544789"/>
    <w:rsid w:val="5F5F4356"/>
    <w:rsid w:val="5F5F50DE"/>
    <w:rsid w:val="5F677A4F"/>
    <w:rsid w:val="5F6F3DE7"/>
    <w:rsid w:val="5F7040CA"/>
    <w:rsid w:val="5F7A0470"/>
    <w:rsid w:val="5F7C4E1D"/>
    <w:rsid w:val="5F7E50B8"/>
    <w:rsid w:val="5F8255CA"/>
    <w:rsid w:val="5F8C2FC6"/>
    <w:rsid w:val="5F8E1329"/>
    <w:rsid w:val="5F960F5A"/>
    <w:rsid w:val="5F9624DF"/>
    <w:rsid w:val="5F97538D"/>
    <w:rsid w:val="5FA0760B"/>
    <w:rsid w:val="5FAD1117"/>
    <w:rsid w:val="5FB44C98"/>
    <w:rsid w:val="5FB55008"/>
    <w:rsid w:val="5FB65BBC"/>
    <w:rsid w:val="5FB907D6"/>
    <w:rsid w:val="5FC51238"/>
    <w:rsid w:val="5FC7489C"/>
    <w:rsid w:val="5FE67AF2"/>
    <w:rsid w:val="5FE93E04"/>
    <w:rsid w:val="5FEA2847"/>
    <w:rsid w:val="5FEC023F"/>
    <w:rsid w:val="5FFB22BA"/>
    <w:rsid w:val="60003CFA"/>
    <w:rsid w:val="60177748"/>
    <w:rsid w:val="601B4111"/>
    <w:rsid w:val="601E4AE1"/>
    <w:rsid w:val="602D4B26"/>
    <w:rsid w:val="60302645"/>
    <w:rsid w:val="603E3568"/>
    <w:rsid w:val="604A3B32"/>
    <w:rsid w:val="60703F4B"/>
    <w:rsid w:val="60707D3F"/>
    <w:rsid w:val="607A2E72"/>
    <w:rsid w:val="607D307D"/>
    <w:rsid w:val="608442F6"/>
    <w:rsid w:val="6084447B"/>
    <w:rsid w:val="608624B4"/>
    <w:rsid w:val="60891BA4"/>
    <w:rsid w:val="609405E0"/>
    <w:rsid w:val="6098030E"/>
    <w:rsid w:val="609D7ADB"/>
    <w:rsid w:val="60A56AB5"/>
    <w:rsid w:val="60AA59E8"/>
    <w:rsid w:val="60B1436A"/>
    <w:rsid w:val="60BB0EBE"/>
    <w:rsid w:val="60C02DDC"/>
    <w:rsid w:val="60C43BAA"/>
    <w:rsid w:val="60C9529F"/>
    <w:rsid w:val="60CE1A3B"/>
    <w:rsid w:val="60CF4D72"/>
    <w:rsid w:val="60D203C7"/>
    <w:rsid w:val="60DD7182"/>
    <w:rsid w:val="60DF71BB"/>
    <w:rsid w:val="60E41D50"/>
    <w:rsid w:val="60EC7FD8"/>
    <w:rsid w:val="60EE0FB3"/>
    <w:rsid w:val="60EE19EA"/>
    <w:rsid w:val="60F657B3"/>
    <w:rsid w:val="60F83FC1"/>
    <w:rsid w:val="60FB097B"/>
    <w:rsid w:val="610558B6"/>
    <w:rsid w:val="610B72AE"/>
    <w:rsid w:val="61113C29"/>
    <w:rsid w:val="611853FE"/>
    <w:rsid w:val="611929F9"/>
    <w:rsid w:val="611951E1"/>
    <w:rsid w:val="611A3B1F"/>
    <w:rsid w:val="611A43FB"/>
    <w:rsid w:val="611B7866"/>
    <w:rsid w:val="612145C3"/>
    <w:rsid w:val="612A2025"/>
    <w:rsid w:val="61315930"/>
    <w:rsid w:val="61336F3B"/>
    <w:rsid w:val="61386B8A"/>
    <w:rsid w:val="613A69EE"/>
    <w:rsid w:val="613C1846"/>
    <w:rsid w:val="613F5A23"/>
    <w:rsid w:val="614E2817"/>
    <w:rsid w:val="61553E49"/>
    <w:rsid w:val="61591868"/>
    <w:rsid w:val="61631C6B"/>
    <w:rsid w:val="616F2C34"/>
    <w:rsid w:val="61716FDB"/>
    <w:rsid w:val="61725141"/>
    <w:rsid w:val="617969F6"/>
    <w:rsid w:val="617A6FC9"/>
    <w:rsid w:val="617D1B97"/>
    <w:rsid w:val="617D4080"/>
    <w:rsid w:val="61855E0E"/>
    <w:rsid w:val="618E3C6D"/>
    <w:rsid w:val="61965AF2"/>
    <w:rsid w:val="619A3156"/>
    <w:rsid w:val="619C7EEE"/>
    <w:rsid w:val="61A0748B"/>
    <w:rsid w:val="61A849EA"/>
    <w:rsid w:val="61AE2415"/>
    <w:rsid w:val="61B2131E"/>
    <w:rsid w:val="61B737A5"/>
    <w:rsid w:val="61B91318"/>
    <w:rsid w:val="61C074F0"/>
    <w:rsid w:val="61CB1B32"/>
    <w:rsid w:val="61D3660A"/>
    <w:rsid w:val="61D84107"/>
    <w:rsid w:val="61DE06E5"/>
    <w:rsid w:val="61EA6060"/>
    <w:rsid w:val="61EC2A7B"/>
    <w:rsid w:val="61F0406C"/>
    <w:rsid w:val="61FD3AAC"/>
    <w:rsid w:val="62017684"/>
    <w:rsid w:val="620963EC"/>
    <w:rsid w:val="620E40A3"/>
    <w:rsid w:val="62154F07"/>
    <w:rsid w:val="62155C1E"/>
    <w:rsid w:val="6220561C"/>
    <w:rsid w:val="622555C9"/>
    <w:rsid w:val="622B4352"/>
    <w:rsid w:val="622B4652"/>
    <w:rsid w:val="622F0F5F"/>
    <w:rsid w:val="62363797"/>
    <w:rsid w:val="62395356"/>
    <w:rsid w:val="623A62CA"/>
    <w:rsid w:val="623E07C9"/>
    <w:rsid w:val="62477981"/>
    <w:rsid w:val="624C6329"/>
    <w:rsid w:val="62524628"/>
    <w:rsid w:val="625951FA"/>
    <w:rsid w:val="626A7448"/>
    <w:rsid w:val="626A7736"/>
    <w:rsid w:val="62746F2A"/>
    <w:rsid w:val="62952EDA"/>
    <w:rsid w:val="62957807"/>
    <w:rsid w:val="6296629C"/>
    <w:rsid w:val="62A83510"/>
    <w:rsid w:val="62AA5617"/>
    <w:rsid w:val="62B20AF7"/>
    <w:rsid w:val="62B34265"/>
    <w:rsid w:val="62BC3F7B"/>
    <w:rsid w:val="62BD0CFC"/>
    <w:rsid w:val="62C3541A"/>
    <w:rsid w:val="62C577A8"/>
    <w:rsid w:val="62C653F7"/>
    <w:rsid w:val="62CB5201"/>
    <w:rsid w:val="62DA63A2"/>
    <w:rsid w:val="62DD2494"/>
    <w:rsid w:val="62ED4680"/>
    <w:rsid w:val="62F50BA4"/>
    <w:rsid w:val="62F76527"/>
    <w:rsid w:val="63002B02"/>
    <w:rsid w:val="630958E3"/>
    <w:rsid w:val="630B629E"/>
    <w:rsid w:val="6313273B"/>
    <w:rsid w:val="63170A5B"/>
    <w:rsid w:val="631A412B"/>
    <w:rsid w:val="63210A9C"/>
    <w:rsid w:val="632154D0"/>
    <w:rsid w:val="63245DD8"/>
    <w:rsid w:val="6328514F"/>
    <w:rsid w:val="63351E9D"/>
    <w:rsid w:val="633D5206"/>
    <w:rsid w:val="634052AD"/>
    <w:rsid w:val="634455AD"/>
    <w:rsid w:val="634D4782"/>
    <w:rsid w:val="635303B8"/>
    <w:rsid w:val="63553747"/>
    <w:rsid w:val="63565FD3"/>
    <w:rsid w:val="63607D53"/>
    <w:rsid w:val="636B02BB"/>
    <w:rsid w:val="636D47DA"/>
    <w:rsid w:val="63722E43"/>
    <w:rsid w:val="63730F2D"/>
    <w:rsid w:val="63755CC8"/>
    <w:rsid w:val="637834D8"/>
    <w:rsid w:val="637A57F9"/>
    <w:rsid w:val="637E19B0"/>
    <w:rsid w:val="637F0E47"/>
    <w:rsid w:val="638C77C9"/>
    <w:rsid w:val="638F7053"/>
    <w:rsid w:val="639B3809"/>
    <w:rsid w:val="63A90FE1"/>
    <w:rsid w:val="63AB5954"/>
    <w:rsid w:val="63AB5FA5"/>
    <w:rsid w:val="63AE0ADD"/>
    <w:rsid w:val="63BA04C6"/>
    <w:rsid w:val="63BF7B02"/>
    <w:rsid w:val="63C250C0"/>
    <w:rsid w:val="63C25B4A"/>
    <w:rsid w:val="63C556B6"/>
    <w:rsid w:val="63C740F2"/>
    <w:rsid w:val="63CC7A1F"/>
    <w:rsid w:val="63D61BF6"/>
    <w:rsid w:val="63DD24B9"/>
    <w:rsid w:val="63E02A10"/>
    <w:rsid w:val="63E75651"/>
    <w:rsid w:val="63F439D8"/>
    <w:rsid w:val="64093158"/>
    <w:rsid w:val="64111D5F"/>
    <w:rsid w:val="641246C8"/>
    <w:rsid w:val="641E6B2B"/>
    <w:rsid w:val="642965F5"/>
    <w:rsid w:val="64303D86"/>
    <w:rsid w:val="64360F50"/>
    <w:rsid w:val="64386248"/>
    <w:rsid w:val="64386C91"/>
    <w:rsid w:val="644F6BE5"/>
    <w:rsid w:val="64521485"/>
    <w:rsid w:val="64546761"/>
    <w:rsid w:val="64573FDD"/>
    <w:rsid w:val="645B768E"/>
    <w:rsid w:val="645B7D2C"/>
    <w:rsid w:val="645C3D0D"/>
    <w:rsid w:val="6467555B"/>
    <w:rsid w:val="646A4E43"/>
    <w:rsid w:val="646B703C"/>
    <w:rsid w:val="64736BBC"/>
    <w:rsid w:val="647660D8"/>
    <w:rsid w:val="648B17D7"/>
    <w:rsid w:val="64955557"/>
    <w:rsid w:val="649C55B8"/>
    <w:rsid w:val="64A1639F"/>
    <w:rsid w:val="64A27B6F"/>
    <w:rsid w:val="64A426C0"/>
    <w:rsid w:val="64A9463D"/>
    <w:rsid w:val="64AE4CE7"/>
    <w:rsid w:val="64AF1661"/>
    <w:rsid w:val="64B36612"/>
    <w:rsid w:val="64CB5B44"/>
    <w:rsid w:val="64CF3E87"/>
    <w:rsid w:val="64D1437A"/>
    <w:rsid w:val="64D65F61"/>
    <w:rsid w:val="64D67013"/>
    <w:rsid w:val="64E5490E"/>
    <w:rsid w:val="64ED2A43"/>
    <w:rsid w:val="64F109FA"/>
    <w:rsid w:val="650147BD"/>
    <w:rsid w:val="65055656"/>
    <w:rsid w:val="65065B00"/>
    <w:rsid w:val="65082C63"/>
    <w:rsid w:val="650F2036"/>
    <w:rsid w:val="65164778"/>
    <w:rsid w:val="651F439E"/>
    <w:rsid w:val="6526082C"/>
    <w:rsid w:val="652D0420"/>
    <w:rsid w:val="65335705"/>
    <w:rsid w:val="653A2EC9"/>
    <w:rsid w:val="65426027"/>
    <w:rsid w:val="654956ED"/>
    <w:rsid w:val="65530998"/>
    <w:rsid w:val="6555786C"/>
    <w:rsid w:val="655B60ED"/>
    <w:rsid w:val="655E6253"/>
    <w:rsid w:val="65654FA8"/>
    <w:rsid w:val="656B1F8C"/>
    <w:rsid w:val="65706CFB"/>
    <w:rsid w:val="65716537"/>
    <w:rsid w:val="65732C29"/>
    <w:rsid w:val="657B77D2"/>
    <w:rsid w:val="657C203E"/>
    <w:rsid w:val="657D7204"/>
    <w:rsid w:val="657F2573"/>
    <w:rsid w:val="658162B3"/>
    <w:rsid w:val="65824605"/>
    <w:rsid w:val="65857DC5"/>
    <w:rsid w:val="65871163"/>
    <w:rsid w:val="658F279A"/>
    <w:rsid w:val="6590142A"/>
    <w:rsid w:val="659652B9"/>
    <w:rsid w:val="65997668"/>
    <w:rsid w:val="65A71891"/>
    <w:rsid w:val="65B808BE"/>
    <w:rsid w:val="65BC05B7"/>
    <w:rsid w:val="65BC71F6"/>
    <w:rsid w:val="65BD71AE"/>
    <w:rsid w:val="65C920EB"/>
    <w:rsid w:val="65C929E7"/>
    <w:rsid w:val="65CC757B"/>
    <w:rsid w:val="65CE272C"/>
    <w:rsid w:val="65E72D78"/>
    <w:rsid w:val="65ED021D"/>
    <w:rsid w:val="65ED7CC6"/>
    <w:rsid w:val="65F05B32"/>
    <w:rsid w:val="65F63CC8"/>
    <w:rsid w:val="65F8181D"/>
    <w:rsid w:val="65FE58C9"/>
    <w:rsid w:val="660126AF"/>
    <w:rsid w:val="6609150C"/>
    <w:rsid w:val="660A13C0"/>
    <w:rsid w:val="660B10DA"/>
    <w:rsid w:val="660B4D1B"/>
    <w:rsid w:val="660B5191"/>
    <w:rsid w:val="661120AC"/>
    <w:rsid w:val="66135C74"/>
    <w:rsid w:val="66136D46"/>
    <w:rsid w:val="6615335A"/>
    <w:rsid w:val="661E75A6"/>
    <w:rsid w:val="6629370A"/>
    <w:rsid w:val="66333640"/>
    <w:rsid w:val="66337137"/>
    <w:rsid w:val="663453BE"/>
    <w:rsid w:val="663A1ED0"/>
    <w:rsid w:val="66495432"/>
    <w:rsid w:val="665107CD"/>
    <w:rsid w:val="6651569C"/>
    <w:rsid w:val="66553513"/>
    <w:rsid w:val="665705E0"/>
    <w:rsid w:val="665742AD"/>
    <w:rsid w:val="665C6CA9"/>
    <w:rsid w:val="66625836"/>
    <w:rsid w:val="66640C54"/>
    <w:rsid w:val="666457A1"/>
    <w:rsid w:val="66657656"/>
    <w:rsid w:val="66725B1C"/>
    <w:rsid w:val="667322B0"/>
    <w:rsid w:val="6677437D"/>
    <w:rsid w:val="667E5EAC"/>
    <w:rsid w:val="66823D25"/>
    <w:rsid w:val="6683525B"/>
    <w:rsid w:val="669175F0"/>
    <w:rsid w:val="66981EA3"/>
    <w:rsid w:val="66A753FF"/>
    <w:rsid w:val="66B13B8B"/>
    <w:rsid w:val="66B97C3F"/>
    <w:rsid w:val="66BB3011"/>
    <w:rsid w:val="66BB384B"/>
    <w:rsid w:val="66BC225D"/>
    <w:rsid w:val="66BC277C"/>
    <w:rsid w:val="66BE0F79"/>
    <w:rsid w:val="66C03EBD"/>
    <w:rsid w:val="66CD0248"/>
    <w:rsid w:val="66D167D8"/>
    <w:rsid w:val="66DA4B68"/>
    <w:rsid w:val="66DC55F9"/>
    <w:rsid w:val="66E3517F"/>
    <w:rsid w:val="66F24688"/>
    <w:rsid w:val="66F32AFD"/>
    <w:rsid w:val="66F65898"/>
    <w:rsid w:val="66FA3A37"/>
    <w:rsid w:val="66FC3278"/>
    <w:rsid w:val="670656F3"/>
    <w:rsid w:val="6707065C"/>
    <w:rsid w:val="670A5FBE"/>
    <w:rsid w:val="670D4812"/>
    <w:rsid w:val="67145A1A"/>
    <w:rsid w:val="671B3CE6"/>
    <w:rsid w:val="67263BF9"/>
    <w:rsid w:val="67283CF2"/>
    <w:rsid w:val="672873E6"/>
    <w:rsid w:val="67486EEB"/>
    <w:rsid w:val="674A2DDB"/>
    <w:rsid w:val="674D7BE9"/>
    <w:rsid w:val="67500547"/>
    <w:rsid w:val="67536CE2"/>
    <w:rsid w:val="67590CDA"/>
    <w:rsid w:val="676B3ADE"/>
    <w:rsid w:val="676C00DE"/>
    <w:rsid w:val="676D1E0F"/>
    <w:rsid w:val="676E6DC6"/>
    <w:rsid w:val="6772435F"/>
    <w:rsid w:val="67740DBE"/>
    <w:rsid w:val="67754E68"/>
    <w:rsid w:val="677E2AC6"/>
    <w:rsid w:val="67883328"/>
    <w:rsid w:val="678A2B0F"/>
    <w:rsid w:val="6792554B"/>
    <w:rsid w:val="679700AC"/>
    <w:rsid w:val="679A4883"/>
    <w:rsid w:val="67A03290"/>
    <w:rsid w:val="67AA258A"/>
    <w:rsid w:val="67AF7EC3"/>
    <w:rsid w:val="67B001F7"/>
    <w:rsid w:val="67B35ACD"/>
    <w:rsid w:val="67B7613E"/>
    <w:rsid w:val="67BA091F"/>
    <w:rsid w:val="67BD4CEC"/>
    <w:rsid w:val="67CE6340"/>
    <w:rsid w:val="67D01C35"/>
    <w:rsid w:val="67D62E03"/>
    <w:rsid w:val="67E00E12"/>
    <w:rsid w:val="67FA509A"/>
    <w:rsid w:val="6801483F"/>
    <w:rsid w:val="6804587C"/>
    <w:rsid w:val="68052779"/>
    <w:rsid w:val="681757C7"/>
    <w:rsid w:val="68234B62"/>
    <w:rsid w:val="68266801"/>
    <w:rsid w:val="682728B1"/>
    <w:rsid w:val="68282FBB"/>
    <w:rsid w:val="682A1A0F"/>
    <w:rsid w:val="682D3CAC"/>
    <w:rsid w:val="682D79D4"/>
    <w:rsid w:val="68365B63"/>
    <w:rsid w:val="683C3CE9"/>
    <w:rsid w:val="683F3F23"/>
    <w:rsid w:val="68412C05"/>
    <w:rsid w:val="68483090"/>
    <w:rsid w:val="684A0C9B"/>
    <w:rsid w:val="684A241F"/>
    <w:rsid w:val="686379C6"/>
    <w:rsid w:val="686B43CA"/>
    <w:rsid w:val="686B6518"/>
    <w:rsid w:val="68703E1E"/>
    <w:rsid w:val="687420AD"/>
    <w:rsid w:val="68781337"/>
    <w:rsid w:val="68891E99"/>
    <w:rsid w:val="68927DAD"/>
    <w:rsid w:val="689E1FA4"/>
    <w:rsid w:val="689F7EB2"/>
    <w:rsid w:val="68A5715A"/>
    <w:rsid w:val="68A76977"/>
    <w:rsid w:val="68AF77CD"/>
    <w:rsid w:val="68B0195F"/>
    <w:rsid w:val="68BE44DE"/>
    <w:rsid w:val="68C3472A"/>
    <w:rsid w:val="68C37FB8"/>
    <w:rsid w:val="68CB0103"/>
    <w:rsid w:val="68CC00B4"/>
    <w:rsid w:val="68CC09BF"/>
    <w:rsid w:val="68CE183A"/>
    <w:rsid w:val="68D151A6"/>
    <w:rsid w:val="68D67F56"/>
    <w:rsid w:val="68D73A8F"/>
    <w:rsid w:val="68E55C60"/>
    <w:rsid w:val="68F127F3"/>
    <w:rsid w:val="68FF79FC"/>
    <w:rsid w:val="69094309"/>
    <w:rsid w:val="690B1C41"/>
    <w:rsid w:val="690C60B5"/>
    <w:rsid w:val="69160EFD"/>
    <w:rsid w:val="691F54E1"/>
    <w:rsid w:val="6922509B"/>
    <w:rsid w:val="692C1069"/>
    <w:rsid w:val="69323C2E"/>
    <w:rsid w:val="69384B65"/>
    <w:rsid w:val="693A3CDA"/>
    <w:rsid w:val="693B4DE3"/>
    <w:rsid w:val="693E5340"/>
    <w:rsid w:val="69487C36"/>
    <w:rsid w:val="694A7031"/>
    <w:rsid w:val="694E3314"/>
    <w:rsid w:val="69520B6B"/>
    <w:rsid w:val="69590BC0"/>
    <w:rsid w:val="695B2DF5"/>
    <w:rsid w:val="695F0D3D"/>
    <w:rsid w:val="69630A03"/>
    <w:rsid w:val="69657926"/>
    <w:rsid w:val="69741174"/>
    <w:rsid w:val="69793999"/>
    <w:rsid w:val="697C13A0"/>
    <w:rsid w:val="697F33DE"/>
    <w:rsid w:val="69860AF8"/>
    <w:rsid w:val="69860D43"/>
    <w:rsid w:val="69884A40"/>
    <w:rsid w:val="69897785"/>
    <w:rsid w:val="698E7D76"/>
    <w:rsid w:val="69A459C3"/>
    <w:rsid w:val="69A6312E"/>
    <w:rsid w:val="69AA5852"/>
    <w:rsid w:val="69B32B67"/>
    <w:rsid w:val="69B635CE"/>
    <w:rsid w:val="69B65207"/>
    <w:rsid w:val="69BC7132"/>
    <w:rsid w:val="69C746AB"/>
    <w:rsid w:val="69CA3F91"/>
    <w:rsid w:val="69CE1802"/>
    <w:rsid w:val="69DC7C82"/>
    <w:rsid w:val="69DF3250"/>
    <w:rsid w:val="69E07061"/>
    <w:rsid w:val="69E21ED2"/>
    <w:rsid w:val="69E65E2A"/>
    <w:rsid w:val="69E94FC8"/>
    <w:rsid w:val="69EC2B9C"/>
    <w:rsid w:val="69EC316D"/>
    <w:rsid w:val="69F16EF8"/>
    <w:rsid w:val="69F24DCF"/>
    <w:rsid w:val="69F62533"/>
    <w:rsid w:val="69FF2AA5"/>
    <w:rsid w:val="6A0502C1"/>
    <w:rsid w:val="6A050609"/>
    <w:rsid w:val="6A064692"/>
    <w:rsid w:val="6A076190"/>
    <w:rsid w:val="6A094487"/>
    <w:rsid w:val="6A0F79FF"/>
    <w:rsid w:val="6A133297"/>
    <w:rsid w:val="6A1775C4"/>
    <w:rsid w:val="6A1A653A"/>
    <w:rsid w:val="6A1D2B21"/>
    <w:rsid w:val="6A224CC6"/>
    <w:rsid w:val="6A23222C"/>
    <w:rsid w:val="6A2743C9"/>
    <w:rsid w:val="6A291377"/>
    <w:rsid w:val="6A394950"/>
    <w:rsid w:val="6A3B2A26"/>
    <w:rsid w:val="6A405B02"/>
    <w:rsid w:val="6A4B3FD1"/>
    <w:rsid w:val="6A4C2349"/>
    <w:rsid w:val="6A515B58"/>
    <w:rsid w:val="6A520ADF"/>
    <w:rsid w:val="6A5409B6"/>
    <w:rsid w:val="6A587166"/>
    <w:rsid w:val="6A5F67E1"/>
    <w:rsid w:val="6A616F9E"/>
    <w:rsid w:val="6A6552DB"/>
    <w:rsid w:val="6A6A71CF"/>
    <w:rsid w:val="6A6E23A2"/>
    <w:rsid w:val="6A701B60"/>
    <w:rsid w:val="6A704A88"/>
    <w:rsid w:val="6A70637F"/>
    <w:rsid w:val="6A7A63CF"/>
    <w:rsid w:val="6A7B43C5"/>
    <w:rsid w:val="6A7F7721"/>
    <w:rsid w:val="6A813304"/>
    <w:rsid w:val="6A8334EE"/>
    <w:rsid w:val="6A9E5A61"/>
    <w:rsid w:val="6AA07E86"/>
    <w:rsid w:val="6AA17ECF"/>
    <w:rsid w:val="6AA945BE"/>
    <w:rsid w:val="6AB32AD1"/>
    <w:rsid w:val="6AB91CBD"/>
    <w:rsid w:val="6ABC69D5"/>
    <w:rsid w:val="6ABF549C"/>
    <w:rsid w:val="6AD866CF"/>
    <w:rsid w:val="6AE46A22"/>
    <w:rsid w:val="6AEA1899"/>
    <w:rsid w:val="6AEC6010"/>
    <w:rsid w:val="6AEE4156"/>
    <w:rsid w:val="6AF43769"/>
    <w:rsid w:val="6AF81829"/>
    <w:rsid w:val="6AFA521D"/>
    <w:rsid w:val="6AFE15ED"/>
    <w:rsid w:val="6B000735"/>
    <w:rsid w:val="6B065A8F"/>
    <w:rsid w:val="6B07503E"/>
    <w:rsid w:val="6B097AD2"/>
    <w:rsid w:val="6B0A1294"/>
    <w:rsid w:val="6B0A6323"/>
    <w:rsid w:val="6B0C3832"/>
    <w:rsid w:val="6B0E2B5F"/>
    <w:rsid w:val="6B104DC9"/>
    <w:rsid w:val="6B163E09"/>
    <w:rsid w:val="6B17224E"/>
    <w:rsid w:val="6B176BEB"/>
    <w:rsid w:val="6B1C52E7"/>
    <w:rsid w:val="6B2103C6"/>
    <w:rsid w:val="6B234D0E"/>
    <w:rsid w:val="6B2411D9"/>
    <w:rsid w:val="6B2D3F44"/>
    <w:rsid w:val="6B2D6641"/>
    <w:rsid w:val="6B2F266C"/>
    <w:rsid w:val="6B312F1A"/>
    <w:rsid w:val="6B335C92"/>
    <w:rsid w:val="6B3C4A77"/>
    <w:rsid w:val="6B482422"/>
    <w:rsid w:val="6B4B75D2"/>
    <w:rsid w:val="6B4F3F35"/>
    <w:rsid w:val="6B51569E"/>
    <w:rsid w:val="6B5F08B4"/>
    <w:rsid w:val="6B695867"/>
    <w:rsid w:val="6B6E6516"/>
    <w:rsid w:val="6B7132FE"/>
    <w:rsid w:val="6B753D4F"/>
    <w:rsid w:val="6B797D34"/>
    <w:rsid w:val="6B7A4729"/>
    <w:rsid w:val="6B843F0A"/>
    <w:rsid w:val="6B8C18F9"/>
    <w:rsid w:val="6B8E643C"/>
    <w:rsid w:val="6B960B83"/>
    <w:rsid w:val="6B97474E"/>
    <w:rsid w:val="6B991EE9"/>
    <w:rsid w:val="6BA12650"/>
    <w:rsid w:val="6BA57A9F"/>
    <w:rsid w:val="6BAA0830"/>
    <w:rsid w:val="6BBF436D"/>
    <w:rsid w:val="6BCA7563"/>
    <w:rsid w:val="6BD36E03"/>
    <w:rsid w:val="6BD405F1"/>
    <w:rsid w:val="6BDD420F"/>
    <w:rsid w:val="6BDD65C1"/>
    <w:rsid w:val="6BE07290"/>
    <w:rsid w:val="6BE82310"/>
    <w:rsid w:val="6BEB23D4"/>
    <w:rsid w:val="6C0131B3"/>
    <w:rsid w:val="6C041DA1"/>
    <w:rsid w:val="6C04314F"/>
    <w:rsid w:val="6C093B88"/>
    <w:rsid w:val="6C0C3493"/>
    <w:rsid w:val="6C0D5AB5"/>
    <w:rsid w:val="6C0F3FDA"/>
    <w:rsid w:val="6C210A71"/>
    <w:rsid w:val="6C262D6F"/>
    <w:rsid w:val="6C2853C1"/>
    <w:rsid w:val="6C2B4A52"/>
    <w:rsid w:val="6C2C4084"/>
    <w:rsid w:val="6C2D5156"/>
    <w:rsid w:val="6C2F2D2B"/>
    <w:rsid w:val="6C355E6D"/>
    <w:rsid w:val="6C3A419E"/>
    <w:rsid w:val="6C404AE6"/>
    <w:rsid w:val="6C461A8C"/>
    <w:rsid w:val="6C471DE8"/>
    <w:rsid w:val="6C477F48"/>
    <w:rsid w:val="6C4B5178"/>
    <w:rsid w:val="6C4C3154"/>
    <w:rsid w:val="6C546640"/>
    <w:rsid w:val="6C5B10D2"/>
    <w:rsid w:val="6C5C7FBD"/>
    <w:rsid w:val="6C5D7215"/>
    <w:rsid w:val="6C751806"/>
    <w:rsid w:val="6C7A19ED"/>
    <w:rsid w:val="6C825E6C"/>
    <w:rsid w:val="6C84002B"/>
    <w:rsid w:val="6C851B13"/>
    <w:rsid w:val="6C88521C"/>
    <w:rsid w:val="6C8B0F3D"/>
    <w:rsid w:val="6C93621A"/>
    <w:rsid w:val="6C9A13EC"/>
    <w:rsid w:val="6C9B4308"/>
    <w:rsid w:val="6C9C5ACB"/>
    <w:rsid w:val="6C9F0EAA"/>
    <w:rsid w:val="6CA235C3"/>
    <w:rsid w:val="6CA502DB"/>
    <w:rsid w:val="6CAC0CF5"/>
    <w:rsid w:val="6CAE5F5C"/>
    <w:rsid w:val="6CBA1F54"/>
    <w:rsid w:val="6CBC7D1D"/>
    <w:rsid w:val="6CBD413B"/>
    <w:rsid w:val="6CBF6842"/>
    <w:rsid w:val="6CC11FAE"/>
    <w:rsid w:val="6CC27EEA"/>
    <w:rsid w:val="6CC356F3"/>
    <w:rsid w:val="6CC81389"/>
    <w:rsid w:val="6CCA0B8D"/>
    <w:rsid w:val="6CCB1DD6"/>
    <w:rsid w:val="6CD331A4"/>
    <w:rsid w:val="6CD34E01"/>
    <w:rsid w:val="6CDA0131"/>
    <w:rsid w:val="6CF65BFE"/>
    <w:rsid w:val="6CFB0099"/>
    <w:rsid w:val="6D05464A"/>
    <w:rsid w:val="6D065918"/>
    <w:rsid w:val="6D0C2227"/>
    <w:rsid w:val="6D0F5128"/>
    <w:rsid w:val="6D12181D"/>
    <w:rsid w:val="6D17781F"/>
    <w:rsid w:val="6D1D213E"/>
    <w:rsid w:val="6D225BAB"/>
    <w:rsid w:val="6D2375E3"/>
    <w:rsid w:val="6D325457"/>
    <w:rsid w:val="6D3969B4"/>
    <w:rsid w:val="6D3B458E"/>
    <w:rsid w:val="6D4631F2"/>
    <w:rsid w:val="6D464717"/>
    <w:rsid w:val="6D4C112A"/>
    <w:rsid w:val="6D5065FC"/>
    <w:rsid w:val="6D563111"/>
    <w:rsid w:val="6D565758"/>
    <w:rsid w:val="6D5A6E93"/>
    <w:rsid w:val="6D6236CB"/>
    <w:rsid w:val="6D6869EC"/>
    <w:rsid w:val="6D8251A7"/>
    <w:rsid w:val="6D94194E"/>
    <w:rsid w:val="6DA058CE"/>
    <w:rsid w:val="6DA25577"/>
    <w:rsid w:val="6DA61C93"/>
    <w:rsid w:val="6DB40C1B"/>
    <w:rsid w:val="6DB4564E"/>
    <w:rsid w:val="6DB6610C"/>
    <w:rsid w:val="6DB77B3C"/>
    <w:rsid w:val="6DB9200D"/>
    <w:rsid w:val="6DBC5357"/>
    <w:rsid w:val="6DBD7FCC"/>
    <w:rsid w:val="6DCE5DC1"/>
    <w:rsid w:val="6DE05B78"/>
    <w:rsid w:val="6DE22CE3"/>
    <w:rsid w:val="6DF257F7"/>
    <w:rsid w:val="6DF74F02"/>
    <w:rsid w:val="6DFC3DB8"/>
    <w:rsid w:val="6E065842"/>
    <w:rsid w:val="6E1B5F0B"/>
    <w:rsid w:val="6E1D3EF9"/>
    <w:rsid w:val="6E226B42"/>
    <w:rsid w:val="6E3652B9"/>
    <w:rsid w:val="6E3959AC"/>
    <w:rsid w:val="6E4050AA"/>
    <w:rsid w:val="6E4F6071"/>
    <w:rsid w:val="6E5B11A0"/>
    <w:rsid w:val="6E5F6E99"/>
    <w:rsid w:val="6E631DB0"/>
    <w:rsid w:val="6E6850E2"/>
    <w:rsid w:val="6E69101B"/>
    <w:rsid w:val="6E6B28E9"/>
    <w:rsid w:val="6E7575BB"/>
    <w:rsid w:val="6E863728"/>
    <w:rsid w:val="6E88107F"/>
    <w:rsid w:val="6E8A380E"/>
    <w:rsid w:val="6E8E42CF"/>
    <w:rsid w:val="6E9C7547"/>
    <w:rsid w:val="6EB51DBF"/>
    <w:rsid w:val="6ED71B1E"/>
    <w:rsid w:val="6ED84AAE"/>
    <w:rsid w:val="6EDC62A4"/>
    <w:rsid w:val="6EDE1180"/>
    <w:rsid w:val="6EE67989"/>
    <w:rsid w:val="6EED125C"/>
    <w:rsid w:val="6EEF1316"/>
    <w:rsid w:val="6F0A16D5"/>
    <w:rsid w:val="6F0B1008"/>
    <w:rsid w:val="6F0E0937"/>
    <w:rsid w:val="6F1717C6"/>
    <w:rsid w:val="6F1B522C"/>
    <w:rsid w:val="6F2572EC"/>
    <w:rsid w:val="6F266F52"/>
    <w:rsid w:val="6F2A7686"/>
    <w:rsid w:val="6F2B7886"/>
    <w:rsid w:val="6F38731F"/>
    <w:rsid w:val="6F3A31B8"/>
    <w:rsid w:val="6F3C5206"/>
    <w:rsid w:val="6F3F1DBB"/>
    <w:rsid w:val="6F3F3A37"/>
    <w:rsid w:val="6F4271D9"/>
    <w:rsid w:val="6F435839"/>
    <w:rsid w:val="6F442B7B"/>
    <w:rsid w:val="6F476843"/>
    <w:rsid w:val="6F4C41B4"/>
    <w:rsid w:val="6F4C7535"/>
    <w:rsid w:val="6F4F5F58"/>
    <w:rsid w:val="6F5042F2"/>
    <w:rsid w:val="6F5E6991"/>
    <w:rsid w:val="6F7035CC"/>
    <w:rsid w:val="6F746F94"/>
    <w:rsid w:val="6F7C11C4"/>
    <w:rsid w:val="6F7D2007"/>
    <w:rsid w:val="6F7E5CEB"/>
    <w:rsid w:val="6F866925"/>
    <w:rsid w:val="6F912177"/>
    <w:rsid w:val="6F91297D"/>
    <w:rsid w:val="6F94134E"/>
    <w:rsid w:val="6F9A5B61"/>
    <w:rsid w:val="6F9B6E34"/>
    <w:rsid w:val="6FA77A9C"/>
    <w:rsid w:val="6FA96F23"/>
    <w:rsid w:val="6FAB7139"/>
    <w:rsid w:val="6FD00B15"/>
    <w:rsid w:val="6FD24FC4"/>
    <w:rsid w:val="6FDE21CB"/>
    <w:rsid w:val="6FDE3DE6"/>
    <w:rsid w:val="6FF763CF"/>
    <w:rsid w:val="6FFF00F4"/>
    <w:rsid w:val="70136857"/>
    <w:rsid w:val="701A48A6"/>
    <w:rsid w:val="70325FCE"/>
    <w:rsid w:val="70331241"/>
    <w:rsid w:val="703560CD"/>
    <w:rsid w:val="70362843"/>
    <w:rsid w:val="70387541"/>
    <w:rsid w:val="703A447D"/>
    <w:rsid w:val="703B1AAE"/>
    <w:rsid w:val="703C6073"/>
    <w:rsid w:val="70470D2C"/>
    <w:rsid w:val="704D1595"/>
    <w:rsid w:val="704F1FBE"/>
    <w:rsid w:val="70547D7A"/>
    <w:rsid w:val="705E45A6"/>
    <w:rsid w:val="705E5BB2"/>
    <w:rsid w:val="705F1411"/>
    <w:rsid w:val="706338D2"/>
    <w:rsid w:val="70686060"/>
    <w:rsid w:val="706D70AE"/>
    <w:rsid w:val="707705D4"/>
    <w:rsid w:val="70841637"/>
    <w:rsid w:val="70902EE4"/>
    <w:rsid w:val="709274A6"/>
    <w:rsid w:val="70936CB7"/>
    <w:rsid w:val="7098749D"/>
    <w:rsid w:val="70A27E96"/>
    <w:rsid w:val="70A32AF8"/>
    <w:rsid w:val="70A666D1"/>
    <w:rsid w:val="70B067C0"/>
    <w:rsid w:val="70B141C7"/>
    <w:rsid w:val="70B24CED"/>
    <w:rsid w:val="70BB2F34"/>
    <w:rsid w:val="70BE3B8B"/>
    <w:rsid w:val="70BF01DD"/>
    <w:rsid w:val="70BF7084"/>
    <w:rsid w:val="70C603B1"/>
    <w:rsid w:val="70CD4B56"/>
    <w:rsid w:val="70DB31F4"/>
    <w:rsid w:val="70DE25FA"/>
    <w:rsid w:val="70F4549A"/>
    <w:rsid w:val="71033512"/>
    <w:rsid w:val="71033A6D"/>
    <w:rsid w:val="710A7B52"/>
    <w:rsid w:val="710F290C"/>
    <w:rsid w:val="711558C1"/>
    <w:rsid w:val="71170380"/>
    <w:rsid w:val="712119E2"/>
    <w:rsid w:val="71216EF7"/>
    <w:rsid w:val="71350262"/>
    <w:rsid w:val="713707CB"/>
    <w:rsid w:val="713C29CE"/>
    <w:rsid w:val="71421535"/>
    <w:rsid w:val="71502D25"/>
    <w:rsid w:val="7154382B"/>
    <w:rsid w:val="715476F2"/>
    <w:rsid w:val="71600936"/>
    <w:rsid w:val="71604316"/>
    <w:rsid w:val="716C14CB"/>
    <w:rsid w:val="71800BF2"/>
    <w:rsid w:val="719A68DE"/>
    <w:rsid w:val="719E44BF"/>
    <w:rsid w:val="71A56D7D"/>
    <w:rsid w:val="71A7201E"/>
    <w:rsid w:val="71A76EDB"/>
    <w:rsid w:val="71AC049C"/>
    <w:rsid w:val="71AC2DBA"/>
    <w:rsid w:val="71B20380"/>
    <w:rsid w:val="71B82ABF"/>
    <w:rsid w:val="71B95824"/>
    <w:rsid w:val="71BA1628"/>
    <w:rsid w:val="71BB55F3"/>
    <w:rsid w:val="71C15974"/>
    <w:rsid w:val="71C50F06"/>
    <w:rsid w:val="71CC36DC"/>
    <w:rsid w:val="71CE4913"/>
    <w:rsid w:val="71D400E3"/>
    <w:rsid w:val="71DC50AA"/>
    <w:rsid w:val="71DE57A9"/>
    <w:rsid w:val="71DE7483"/>
    <w:rsid w:val="71E20BAA"/>
    <w:rsid w:val="71E75C78"/>
    <w:rsid w:val="71ED1A3C"/>
    <w:rsid w:val="71F1306B"/>
    <w:rsid w:val="71FA7CDD"/>
    <w:rsid w:val="71FF1EB5"/>
    <w:rsid w:val="72014AE7"/>
    <w:rsid w:val="72135DEE"/>
    <w:rsid w:val="72164331"/>
    <w:rsid w:val="721B28BA"/>
    <w:rsid w:val="722367B7"/>
    <w:rsid w:val="722C20A9"/>
    <w:rsid w:val="722D4A54"/>
    <w:rsid w:val="722E4C14"/>
    <w:rsid w:val="723019D4"/>
    <w:rsid w:val="723C7B2E"/>
    <w:rsid w:val="72432F74"/>
    <w:rsid w:val="724904FF"/>
    <w:rsid w:val="72493D51"/>
    <w:rsid w:val="724978DB"/>
    <w:rsid w:val="72523B45"/>
    <w:rsid w:val="72525F31"/>
    <w:rsid w:val="725B2049"/>
    <w:rsid w:val="725F27FE"/>
    <w:rsid w:val="725F35E1"/>
    <w:rsid w:val="726E7170"/>
    <w:rsid w:val="726F5ABF"/>
    <w:rsid w:val="726F7992"/>
    <w:rsid w:val="72707CDB"/>
    <w:rsid w:val="727203B0"/>
    <w:rsid w:val="72752226"/>
    <w:rsid w:val="72772046"/>
    <w:rsid w:val="72790695"/>
    <w:rsid w:val="7280207B"/>
    <w:rsid w:val="728126C6"/>
    <w:rsid w:val="728F598F"/>
    <w:rsid w:val="72924225"/>
    <w:rsid w:val="72930BCC"/>
    <w:rsid w:val="72987A74"/>
    <w:rsid w:val="729B2FE0"/>
    <w:rsid w:val="72A10F8A"/>
    <w:rsid w:val="72A12B36"/>
    <w:rsid w:val="72B77C76"/>
    <w:rsid w:val="72BA4C43"/>
    <w:rsid w:val="72BE0CE6"/>
    <w:rsid w:val="72C03B24"/>
    <w:rsid w:val="72C10C7B"/>
    <w:rsid w:val="72C25CB3"/>
    <w:rsid w:val="72C363D3"/>
    <w:rsid w:val="72C47E63"/>
    <w:rsid w:val="72CA6AE0"/>
    <w:rsid w:val="72D02C96"/>
    <w:rsid w:val="72D24664"/>
    <w:rsid w:val="72D92B94"/>
    <w:rsid w:val="72E27847"/>
    <w:rsid w:val="72E66016"/>
    <w:rsid w:val="72F2022E"/>
    <w:rsid w:val="72F643D7"/>
    <w:rsid w:val="72FA45F0"/>
    <w:rsid w:val="72FE6594"/>
    <w:rsid w:val="72FE7A47"/>
    <w:rsid w:val="730F16AD"/>
    <w:rsid w:val="7315350B"/>
    <w:rsid w:val="731E7120"/>
    <w:rsid w:val="73236896"/>
    <w:rsid w:val="73244795"/>
    <w:rsid w:val="73272B65"/>
    <w:rsid w:val="7331708F"/>
    <w:rsid w:val="73352F4B"/>
    <w:rsid w:val="733F7FE8"/>
    <w:rsid w:val="734843BD"/>
    <w:rsid w:val="73486866"/>
    <w:rsid w:val="734D71B7"/>
    <w:rsid w:val="7354745E"/>
    <w:rsid w:val="73574247"/>
    <w:rsid w:val="735901E8"/>
    <w:rsid w:val="73642D4E"/>
    <w:rsid w:val="73722B5B"/>
    <w:rsid w:val="737E69C5"/>
    <w:rsid w:val="738224D7"/>
    <w:rsid w:val="73887711"/>
    <w:rsid w:val="738C2837"/>
    <w:rsid w:val="738D5519"/>
    <w:rsid w:val="738F4F62"/>
    <w:rsid w:val="73915C48"/>
    <w:rsid w:val="73916439"/>
    <w:rsid w:val="73942716"/>
    <w:rsid w:val="73986C88"/>
    <w:rsid w:val="73997330"/>
    <w:rsid w:val="739A1DA8"/>
    <w:rsid w:val="73B726CD"/>
    <w:rsid w:val="73C1064C"/>
    <w:rsid w:val="73C60A71"/>
    <w:rsid w:val="73CE5639"/>
    <w:rsid w:val="73D47B3C"/>
    <w:rsid w:val="73DB7AD4"/>
    <w:rsid w:val="73ED2953"/>
    <w:rsid w:val="74031BB9"/>
    <w:rsid w:val="740466DC"/>
    <w:rsid w:val="74067871"/>
    <w:rsid w:val="741431ED"/>
    <w:rsid w:val="74257716"/>
    <w:rsid w:val="74286A13"/>
    <w:rsid w:val="742A357B"/>
    <w:rsid w:val="742C1234"/>
    <w:rsid w:val="742C709B"/>
    <w:rsid w:val="74345C58"/>
    <w:rsid w:val="7435449A"/>
    <w:rsid w:val="74356F12"/>
    <w:rsid w:val="74357E18"/>
    <w:rsid w:val="743712FF"/>
    <w:rsid w:val="74444138"/>
    <w:rsid w:val="744E33B2"/>
    <w:rsid w:val="746251F1"/>
    <w:rsid w:val="74710E40"/>
    <w:rsid w:val="747D7AC1"/>
    <w:rsid w:val="747F0AED"/>
    <w:rsid w:val="748248F7"/>
    <w:rsid w:val="74925617"/>
    <w:rsid w:val="74933CAE"/>
    <w:rsid w:val="749A0EBA"/>
    <w:rsid w:val="74A332E8"/>
    <w:rsid w:val="74A87733"/>
    <w:rsid w:val="74AB58E2"/>
    <w:rsid w:val="74B14470"/>
    <w:rsid w:val="74B24264"/>
    <w:rsid w:val="74B5458D"/>
    <w:rsid w:val="74B87419"/>
    <w:rsid w:val="74BB5DD8"/>
    <w:rsid w:val="74C2410C"/>
    <w:rsid w:val="74C77F8F"/>
    <w:rsid w:val="74CE1338"/>
    <w:rsid w:val="74D31F93"/>
    <w:rsid w:val="74D32F5C"/>
    <w:rsid w:val="74D63812"/>
    <w:rsid w:val="74E05742"/>
    <w:rsid w:val="74ED29DF"/>
    <w:rsid w:val="74EF7A88"/>
    <w:rsid w:val="74F41B3F"/>
    <w:rsid w:val="74F50FFB"/>
    <w:rsid w:val="75023806"/>
    <w:rsid w:val="75042D00"/>
    <w:rsid w:val="75123603"/>
    <w:rsid w:val="75132BF0"/>
    <w:rsid w:val="75170168"/>
    <w:rsid w:val="75171CB7"/>
    <w:rsid w:val="75181D0C"/>
    <w:rsid w:val="75251CA6"/>
    <w:rsid w:val="75281AEC"/>
    <w:rsid w:val="75301753"/>
    <w:rsid w:val="7532556C"/>
    <w:rsid w:val="753567C4"/>
    <w:rsid w:val="75365208"/>
    <w:rsid w:val="753C4DB8"/>
    <w:rsid w:val="753C6BC5"/>
    <w:rsid w:val="75421DFC"/>
    <w:rsid w:val="75433C2C"/>
    <w:rsid w:val="7548597E"/>
    <w:rsid w:val="754C634A"/>
    <w:rsid w:val="75555E70"/>
    <w:rsid w:val="755F251B"/>
    <w:rsid w:val="75653B97"/>
    <w:rsid w:val="756F65C9"/>
    <w:rsid w:val="75702870"/>
    <w:rsid w:val="75787EF4"/>
    <w:rsid w:val="757C3C65"/>
    <w:rsid w:val="7587099D"/>
    <w:rsid w:val="758777A3"/>
    <w:rsid w:val="758E76C8"/>
    <w:rsid w:val="758F6DF0"/>
    <w:rsid w:val="759E030C"/>
    <w:rsid w:val="75A03F8B"/>
    <w:rsid w:val="75A06766"/>
    <w:rsid w:val="75A30B3B"/>
    <w:rsid w:val="75C17683"/>
    <w:rsid w:val="75C350AF"/>
    <w:rsid w:val="75C9314B"/>
    <w:rsid w:val="75CA074E"/>
    <w:rsid w:val="75CB0B38"/>
    <w:rsid w:val="75CD7A9E"/>
    <w:rsid w:val="75D32380"/>
    <w:rsid w:val="75DF2ADE"/>
    <w:rsid w:val="75E97CBC"/>
    <w:rsid w:val="75EE00D3"/>
    <w:rsid w:val="75EE58BE"/>
    <w:rsid w:val="75EF0432"/>
    <w:rsid w:val="75F04EA5"/>
    <w:rsid w:val="75F06842"/>
    <w:rsid w:val="75FA4762"/>
    <w:rsid w:val="75FD1F7D"/>
    <w:rsid w:val="760237BA"/>
    <w:rsid w:val="760D12B7"/>
    <w:rsid w:val="760F6998"/>
    <w:rsid w:val="761749B7"/>
    <w:rsid w:val="76256F6A"/>
    <w:rsid w:val="762B5ACD"/>
    <w:rsid w:val="762C381A"/>
    <w:rsid w:val="7630234F"/>
    <w:rsid w:val="76332EAC"/>
    <w:rsid w:val="7637209D"/>
    <w:rsid w:val="763B4D57"/>
    <w:rsid w:val="763B5D3F"/>
    <w:rsid w:val="76483D86"/>
    <w:rsid w:val="764B7051"/>
    <w:rsid w:val="765648F4"/>
    <w:rsid w:val="765A3590"/>
    <w:rsid w:val="76612D90"/>
    <w:rsid w:val="76626271"/>
    <w:rsid w:val="7666207D"/>
    <w:rsid w:val="766942BF"/>
    <w:rsid w:val="766C61CA"/>
    <w:rsid w:val="766D6607"/>
    <w:rsid w:val="76737AA9"/>
    <w:rsid w:val="767A4A88"/>
    <w:rsid w:val="76854525"/>
    <w:rsid w:val="76870716"/>
    <w:rsid w:val="768973AD"/>
    <w:rsid w:val="769A164A"/>
    <w:rsid w:val="769F1DC9"/>
    <w:rsid w:val="76B816B9"/>
    <w:rsid w:val="76C44652"/>
    <w:rsid w:val="76C813E0"/>
    <w:rsid w:val="76C8567E"/>
    <w:rsid w:val="76CD0DF0"/>
    <w:rsid w:val="76D1758E"/>
    <w:rsid w:val="76D24C22"/>
    <w:rsid w:val="76D86985"/>
    <w:rsid w:val="76E11B94"/>
    <w:rsid w:val="76E3500A"/>
    <w:rsid w:val="76EA4473"/>
    <w:rsid w:val="76F024C5"/>
    <w:rsid w:val="76F76B05"/>
    <w:rsid w:val="76F827C9"/>
    <w:rsid w:val="76F96944"/>
    <w:rsid w:val="76FC5DDE"/>
    <w:rsid w:val="76FE3C5F"/>
    <w:rsid w:val="770275D7"/>
    <w:rsid w:val="77030991"/>
    <w:rsid w:val="770501C8"/>
    <w:rsid w:val="770B2DFA"/>
    <w:rsid w:val="771528B0"/>
    <w:rsid w:val="771530F6"/>
    <w:rsid w:val="77196399"/>
    <w:rsid w:val="772565F0"/>
    <w:rsid w:val="7730775E"/>
    <w:rsid w:val="77334B63"/>
    <w:rsid w:val="77360801"/>
    <w:rsid w:val="77373A04"/>
    <w:rsid w:val="773960CB"/>
    <w:rsid w:val="773B38CD"/>
    <w:rsid w:val="773D3CA2"/>
    <w:rsid w:val="7745379C"/>
    <w:rsid w:val="77472D2E"/>
    <w:rsid w:val="77482E3E"/>
    <w:rsid w:val="774C0D39"/>
    <w:rsid w:val="774C27C9"/>
    <w:rsid w:val="77506686"/>
    <w:rsid w:val="77533618"/>
    <w:rsid w:val="77543701"/>
    <w:rsid w:val="7756014A"/>
    <w:rsid w:val="775C5437"/>
    <w:rsid w:val="7761138A"/>
    <w:rsid w:val="77633F93"/>
    <w:rsid w:val="776B154C"/>
    <w:rsid w:val="7773745F"/>
    <w:rsid w:val="7777787F"/>
    <w:rsid w:val="77796EEC"/>
    <w:rsid w:val="77850779"/>
    <w:rsid w:val="778516FD"/>
    <w:rsid w:val="7786558A"/>
    <w:rsid w:val="7788682A"/>
    <w:rsid w:val="779112DE"/>
    <w:rsid w:val="779301B8"/>
    <w:rsid w:val="779872B1"/>
    <w:rsid w:val="779D7457"/>
    <w:rsid w:val="77A44EBD"/>
    <w:rsid w:val="77A8110F"/>
    <w:rsid w:val="77AF3A2E"/>
    <w:rsid w:val="77B07BBA"/>
    <w:rsid w:val="77B5648C"/>
    <w:rsid w:val="77B9258D"/>
    <w:rsid w:val="77BE1DAC"/>
    <w:rsid w:val="77C257BC"/>
    <w:rsid w:val="77CE29F9"/>
    <w:rsid w:val="77D775BF"/>
    <w:rsid w:val="77D96AB5"/>
    <w:rsid w:val="77DF7CE9"/>
    <w:rsid w:val="77E22697"/>
    <w:rsid w:val="77EA35E1"/>
    <w:rsid w:val="77EB7F50"/>
    <w:rsid w:val="77EC3FBC"/>
    <w:rsid w:val="77EF5ABA"/>
    <w:rsid w:val="77F51729"/>
    <w:rsid w:val="77F72172"/>
    <w:rsid w:val="77F77EF1"/>
    <w:rsid w:val="77F9042D"/>
    <w:rsid w:val="77F94BB7"/>
    <w:rsid w:val="77FA0AD2"/>
    <w:rsid w:val="780C2F64"/>
    <w:rsid w:val="781867E2"/>
    <w:rsid w:val="78193498"/>
    <w:rsid w:val="781C3BA1"/>
    <w:rsid w:val="781C4D65"/>
    <w:rsid w:val="781C6F90"/>
    <w:rsid w:val="781D47E8"/>
    <w:rsid w:val="781E1E00"/>
    <w:rsid w:val="783626E6"/>
    <w:rsid w:val="7837685E"/>
    <w:rsid w:val="78377FA9"/>
    <w:rsid w:val="783A0870"/>
    <w:rsid w:val="783B6DBD"/>
    <w:rsid w:val="783E1895"/>
    <w:rsid w:val="784620E0"/>
    <w:rsid w:val="784F47D0"/>
    <w:rsid w:val="78511E20"/>
    <w:rsid w:val="78541BC8"/>
    <w:rsid w:val="785E388F"/>
    <w:rsid w:val="785E4E83"/>
    <w:rsid w:val="785E5E13"/>
    <w:rsid w:val="78643585"/>
    <w:rsid w:val="78710197"/>
    <w:rsid w:val="787448C0"/>
    <w:rsid w:val="78747102"/>
    <w:rsid w:val="787725DC"/>
    <w:rsid w:val="78820E48"/>
    <w:rsid w:val="788A7F54"/>
    <w:rsid w:val="788D375A"/>
    <w:rsid w:val="788D5535"/>
    <w:rsid w:val="78901DC0"/>
    <w:rsid w:val="78903380"/>
    <w:rsid w:val="78A51294"/>
    <w:rsid w:val="78AD39E6"/>
    <w:rsid w:val="78AD74DA"/>
    <w:rsid w:val="78AF627C"/>
    <w:rsid w:val="78B234C0"/>
    <w:rsid w:val="78B305BE"/>
    <w:rsid w:val="78B44166"/>
    <w:rsid w:val="78B81CD5"/>
    <w:rsid w:val="78C85BAF"/>
    <w:rsid w:val="78CE556C"/>
    <w:rsid w:val="78D3268E"/>
    <w:rsid w:val="78D62DFE"/>
    <w:rsid w:val="78E1483A"/>
    <w:rsid w:val="78E37682"/>
    <w:rsid w:val="78E76F00"/>
    <w:rsid w:val="78EA18B5"/>
    <w:rsid w:val="78F62197"/>
    <w:rsid w:val="78F7221A"/>
    <w:rsid w:val="78FE053E"/>
    <w:rsid w:val="790025E2"/>
    <w:rsid w:val="790B5F0B"/>
    <w:rsid w:val="790D487D"/>
    <w:rsid w:val="79151897"/>
    <w:rsid w:val="791B4E53"/>
    <w:rsid w:val="791D46F4"/>
    <w:rsid w:val="791D48AF"/>
    <w:rsid w:val="791E741C"/>
    <w:rsid w:val="792065AB"/>
    <w:rsid w:val="79307D50"/>
    <w:rsid w:val="793369BB"/>
    <w:rsid w:val="793601CF"/>
    <w:rsid w:val="79376357"/>
    <w:rsid w:val="79384D4E"/>
    <w:rsid w:val="793A316F"/>
    <w:rsid w:val="793C3AEC"/>
    <w:rsid w:val="794A6436"/>
    <w:rsid w:val="79564C04"/>
    <w:rsid w:val="79590CAE"/>
    <w:rsid w:val="795A2E33"/>
    <w:rsid w:val="795F4C9D"/>
    <w:rsid w:val="79624FD9"/>
    <w:rsid w:val="79712D4E"/>
    <w:rsid w:val="79763D1D"/>
    <w:rsid w:val="797E10F3"/>
    <w:rsid w:val="79811ABB"/>
    <w:rsid w:val="798F456F"/>
    <w:rsid w:val="798F6EB8"/>
    <w:rsid w:val="799153C2"/>
    <w:rsid w:val="7991577C"/>
    <w:rsid w:val="799A7B72"/>
    <w:rsid w:val="799C504E"/>
    <w:rsid w:val="79A27193"/>
    <w:rsid w:val="79A758AB"/>
    <w:rsid w:val="79A846F2"/>
    <w:rsid w:val="79AB776D"/>
    <w:rsid w:val="79AB7D2B"/>
    <w:rsid w:val="79AC5A81"/>
    <w:rsid w:val="79AD2084"/>
    <w:rsid w:val="79B12FF1"/>
    <w:rsid w:val="79B33844"/>
    <w:rsid w:val="79B93FD8"/>
    <w:rsid w:val="79C435AC"/>
    <w:rsid w:val="79CC0C3A"/>
    <w:rsid w:val="79CF4BFF"/>
    <w:rsid w:val="79D16243"/>
    <w:rsid w:val="79D50F48"/>
    <w:rsid w:val="79E11455"/>
    <w:rsid w:val="79E41EDC"/>
    <w:rsid w:val="79E6269B"/>
    <w:rsid w:val="79EB1CE3"/>
    <w:rsid w:val="79EE06F4"/>
    <w:rsid w:val="79F2416A"/>
    <w:rsid w:val="79F84592"/>
    <w:rsid w:val="79FE1010"/>
    <w:rsid w:val="7A02233A"/>
    <w:rsid w:val="7A053B1A"/>
    <w:rsid w:val="7A093A4B"/>
    <w:rsid w:val="7A0B144C"/>
    <w:rsid w:val="7A1416A2"/>
    <w:rsid w:val="7A16761A"/>
    <w:rsid w:val="7A187AFA"/>
    <w:rsid w:val="7A227656"/>
    <w:rsid w:val="7A2B6BFC"/>
    <w:rsid w:val="7A3446B9"/>
    <w:rsid w:val="7A361730"/>
    <w:rsid w:val="7A362DF3"/>
    <w:rsid w:val="7A3D1CBD"/>
    <w:rsid w:val="7A405827"/>
    <w:rsid w:val="7A456EBC"/>
    <w:rsid w:val="7A4E066B"/>
    <w:rsid w:val="7A570F48"/>
    <w:rsid w:val="7A583305"/>
    <w:rsid w:val="7A5D635F"/>
    <w:rsid w:val="7A5D7C0F"/>
    <w:rsid w:val="7A690AA4"/>
    <w:rsid w:val="7A6A4C01"/>
    <w:rsid w:val="7A6D2D87"/>
    <w:rsid w:val="7A6E61D1"/>
    <w:rsid w:val="7A716384"/>
    <w:rsid w:val="7A771A92"/>
    <w:rsid w:val="7A7C3C48"/>
    <w:rsid w:val="7A7D7F35"/>
    <w:rsid w:val="7A7E0F7C"/>
    <w:rsid w:val="7A8141B4"/>
    <w:rsid w:val="7A8608DA"/>
    <w:rsid w:val="7A866B65"/>
    <w:rsid w:val="7A8F0F06"/>
    <w:rsid w:val="7A9D6FA9"/>
    <w:rsid w:val="7AA56371"/>
    <w:rsid w:val="7AA611AD"/>
    <w:rsid w:val="7AAC5163"/>
    <w:rsid w:val="7AAE32EE"/>
    <w:rsid w:val="7AB64B7F"/>
    <w:rsid w:val="7AB83998"/>
    <w:rsid w:val="7AC2497D"/>
    <w:rsid w:val="7AC42F0A"/>
    <w:rsid w:val="7AC5710A"/>
    <w:rsid w:val="7AC74A32"/>
    <w:rsid w:val="7AC837B2"/>
    <w:rsid w:val="7AD556C6"/>
    <w:rsid w:val="7AD96F57"/>
    <w:rsid w:val="7ADA240E"/>
    <w:rsid w:val="7ADC1120"/>
    <w:rsid w:val="7AE3374D"/>
    <w:rsid w:val="7AE60410"/>
    <w:rsid w:val="7AE8068F"/>
    <w:rsid w:val="7AEF0F59"/>
    <w:rsid w:val="7AFC6C61"/>
    <w:rsid w:val="7B043257"/>
    <w:rsid w:val="7B0618AA"/>
    <w:rsid w:val="7B0C6C47"/>
    <w:rsid w:val="7B100134"/>
    <w:rsid w:val="7B140C18"/>
    <w:rsid w:val="7B1706DA"/>
    <w:rsid w:val="7B17772E"/>
    <w:rsid w:val="7B237C2D"/>
    <w:rsid w:val="7B2619BD"/>
    <w:rsid w:val="7B3A77A1"/>
    <w:rsid w:val="7B3D2232"/>
    <w:rsid w:val="7B4406CF"/>
    <w:rsid w:val="7B472CD9"/>
    <w:rsid w:val="7B496619"/>
    <w:rsid w:val="7B4E6C21"/>
    <w:rsid w:val="7B532F9B"/>
    <w:rsid w:val="7B571D54"/>
    <w:rsid w:val="7B687B46"/>
    <w:rsid w:val="7B695ADD"/>
    <w:rsid w:val="7B6B0E01"/>
    <w:rsid w:val="7B6D57C8"/>
    <w:rsid w:val="7B7A2672"/>
    <w:rsid w:val="7B7B0185"/>
    <w:rsid w:val="7B8072BD"/>
    <w:rsid w:val="7B857DFD"/>
    <w:rsid w:val="7B872BC1"/>
    <w:rsid w:val="7B8C1FCE"/>
    <w:rsid w:val="7B992F68"/>
    <w:rsid w:val="7BAA2194"/>
    <w:rsid w:val="7BB345C7"/>
    <w:rsid w:val="7BB500D3"/>
    <w:rsid w:val="7BB636DB"/>
    <w:rsid w:val="7BC932E9"/>
    <w:rsid w:val="7BCD6FDB"/>
    <w:rsid w:val="7BDC2553"/>
    <w:rsid w:val="7BE07191"/>
    <w:rsid w:val="7BED6ADF"/>
    <w:rsid w:val="7BEF1EAE"/>
    <w:rsid w:val="7BF3470B"/>
    <w:rsid w:val="7BF62672"/>
    <w:rsid w:val="7BF901C4"/>
    <w:rsid w:val="7BFB0E2E"/>
    <w:rsid w:val="7C016337"/>
    <w:rsid w:val="7C04726C"/>
    <w:rsid w:val="7C0E793C"/>
    <w:rsid w:val="7C1208C1"/>
    <w:rsid w:val="7C15330B"/>
    <w:rsid w:val="7C165BEA"/>
    <w:rsid w:val="7C1667CF"/>
    <w:rsid w:val="7C2F311D"/>
    <w:rsid w:val="7C305EFA"/>
    <w:rsid w:val="7C334A84"/>
    <w:rsid w:val="7C3369FF"/>
    <w:rsid w:val="7C351903"/>
    <w:rsid w:val="7C3E735D"/>
    <w:rsid w:val="7C4B3003"/>
    <w:rsid w:val="7C5D4742"/>
    <w:rsid w:val="7C601E4C"/>
    <w:rsid w:val="7C626271"/>
    <w:rsid w:val="7C685003"/>
    <w:rsid w:val="7C685B0C"/>
    <w:rsid w:val="7C690301"/>
    <w:rsid w:val="7C693034"/>
    <w:rsid w:val="7C7902AE"/>
    <w:rsid w:val="7C7B1F49"/>
    <w:rsid w:val="7C7C6F89"/>
    <w:rsid w:val="7C7F6948"/>
    <w:rsid w:val="7C80382D"/>
    <w:rsid w:val="7C877E9D"/>
    <w:rsid w:val="7C951CC1"/>
    <w:rsid w:val="7C961B41"/>
    <w:rsid w:val="7C997A79"/>
    <w:rsid w:val="7C9F7C7D"/>
    <w:rsid w:val="7CA16E24"/>
    <w:rsid w:val="7CA30865"/>
    <w:rsid w:val="7CA60C33"/>
    <w:rsid w:val="7CAC1629"/>
    <w:rsid w:val="7CB35FB5"/>
    <w:rsid w:val="7CB4253C"/>
    <w:rsid w:val="7CBA0D91"/>
    <w:rsid w:val="7CBB20D6"/>
    <w:rsid w:val="7CBF5809"/>
    <w:rsid w:val="7CC34013"/>
    <w:rsid w:val="7CCB57A0"/>
    <w:rsid w:val="7CCF11F6"/>
    <w:rsid w:val="7CDE12A5"/>
    <w:rsid w:val="7CE55608"/>
    <w:rsid w:val="7D0D6C1E"/>
    <w:rsid w:val="7D1039D9"/>
    <w:rsid w:val="7D130DE6"/>
    <w:rsid w:val="7D1E3983"/>
    <w:rsid w:val="7D1F00CD"/>
    <w:rsid w:val="7D2029E6"/>
    <w:rsid w:val="7D217D1F"/>
    <w:rsid w:val="7D230509"/>
    <w:rsid w:val="7D2B1D99"/>
    <w:rsid w:val="7D2F69F2"/>
    <w:rsid w:val="7D3153D7"/>
    <w:rsid w:val="7D3B35AF"/>
    <w:rsid w:val="7D44284B"/>
    <w:rsid w:val="7D482282"/>
    <w:rsid w:val="7D57102F"/>
    <w:rsid w:val="7D630FC1"/>
    <w:rsid w:val="7D651270"/>
    <w:rsid w:val="7D6608BE"/>
    <w:rsid w:val="7D6A0582"/>
    <w:rsid w:val="7D6B57A6"/>
    <w:rsid w:val="7D717DD6"/>
    <w:rsid w:val="7D721427"/>
    <w:rsid w:val="7D766241"/>
    <w:rsid w:val="7D7E3FD4"/>
    <w:rsid w:val="7D863491"/>
    <w:rsid w:val="7D8D6636"/>
    <w:rsid w:val="7D906B83"/>
    <w:rsid w:val="7D9B6842"/>
    <w:rsid w:val="7D9E0665"/>
    <w:rsid w:val="7D9E113D"/>
    <w:rsid w:val="7D9F4CC5"/>
    <w:rsid w:val="7DA3153F"/>
    <w:rsid w:val="7DB16A46"/>
    <w:rsid w:val="7DB367E9"/>
    <w:rsid w:val="7DB85DFF"/>
    <w:rsid w:val="7DC878F9"/>
    <w:rsid w:val="7DCE406F"/>
    <w:rsid w:val="7DD34B2B"/>
    <w:rsid w:val="7DDA48D0"/>
    <w:rsid w:val="7DDD7A92"/>
    <w:rsid w:val="7DDF04F8"/>
    <w:rsid w:val="7DF5511C"/>
    <w:rsid w:val="7DF66007"/>
    <w:rsid w:val="7DF756B6"/>
    <w:rsid w:val="7DFE205F"/>
    <w:rsid w:val="7E021F6E"/>
    <w:rsid w:val="7E1414EA"/>
    <w:rsid w:val="7E16020C"/>
    <w:rsid w:val="7E1745F3"/>
    <w:rsid w:val="7E1F4C2E"/>
    <w:rsid w:val="7E2925C4"/>
    <w:rsid w:val="7E2E6F29"/>
    <w:rsid w:val="7E3B75AA"/>
    <w:rsid w:val="7E3D04C4"/>
    <w:rsid w:val="7E442A1C"/>
    <w:rsid w:val="7E481E1B"/>
    <w:rsid w:val="7E605E66"/>
    <w:rsid w:val="7E6C77F5"/>
    <w:rsid w:val="7E82232F"/>
    <w:rsid w:val="7E917844"/>
    <w:rsid w:val="7E9D2CB8"/>
    <w:rsid w:val="7E9F193D"/>
    <w:rsid w:val="7EA05082"/>
    <w:rsid w:val="7EA518CF"/>
    <w:rsid w:val="7EB6638D"/>
    <w:rsid w:val="7EB80204"/>
    <w:rsid w:val="7EBF25CB"/>
    <w:rsid w:val="7EC01A20"/>
    <w:rsid w:val="7EC0471A"/>
    <w:rsid w:val="7ECD425E"/>
    <w:rsid w:val="7EE55ED5"/>
    <w:rsid w:val="7EE974E0"/>
    <w:rsid w:val="7EEF0C9B"/>
    <w:rsid w:val="7EF40467"/>
    <w:rsid w:val="7F1768E0"/>
    <w:rsid w:val="7F221528"/>
    <w:rsid w:val="7F2758F9"/>
    <w:rsid w:val="7F3170F5"/>
    <w:rsid w:val="7F45269E"/>
    <w:rsid w:val="7F614D6B"/>
    <w:rsid w:val="7F615B82"/>
    <w:rsid w:val="7F766E68"/>
    <w:rsid w:val="7F7961C8"/>
    <w:rsid w:val="7F8120E3"/>
    <w:rsid w:val="7F8153B4"/>
    <w:rsid w:val="7F863C13"/>
    <w:rsid w:val="7F8A0609"/>
    <w:rsid w:val="7F8D34AD"/>
    <w:rsid w:val="7F9114F8"/>
    <w:rsid w:val="7F917268"/>
    <w:rsid w:val="7F985C88"/>
    <w:rsid w:val="7F9C5624"/>
    <w:rsid w:val="7F9D3C4D"/>
    <w:rsid w:val="7F9F3C64"/>
    <w:rsid w:val="7FA51353"/>
    <w:rsid w:val="7FA552C2"/>
    <w:rsid w:val="7FA76F26"/>
    <w:rsid w:val="7FA930C2"/>
    <w:rsid w:val="7FAC63C5"/>
    <w:rsid w:val="7FB40C86"/>
    <w:rsid w:val="7FB76FBB"/>
    <w:rsid w:val="7FBE3155"/>
    <w:rsid w:val="7FC1531F"/>
    <w:rsid w:val="7FCA11D5"/>
    <w:rsid w:val="7FCB3CB6"/>
    <w:rsid w:val="7FD74F43"/>
    <w:rsid w:val="7FDC1348"/>
    <w:rsid w:val="7FE80B25"/>
    <w:rsid w:val="7FE9425B"/>
    <w:rsid w:val="7FEA554D"/>
    <w:rsid w:val="7FEE326D"/>
    <w:rsid w:val="7FF05B5C"/>
    <w:rsid w:val="7FF107D2"/>
    <w:rsid w:val="7FF3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3">
    <w:name w:val="heading 1"/>
    <w:basedOn w:val="1"/>
    <w:next w:val="1"/>
    <w:link w:val="20"/>
    <w:qFormat/>
    <w:uiPriority w:val="1"/>
    <w:pPr>
      <w:spacing w:before="50"/>
      <w:ind w:right="255"/>
      <w:jc w:val="center"/>
      <w:outlineLvl w:val="0"/>
    </w:pPr>
    <w:rPr>
      <w:b/>
      <w:bCs/>
      <w:sz w:val="36"/>
      <w:szCs w:val="36"/>
    </w:rPr>
  </w:style>
  <w:style w:type="paragraph" w:styleId="4">
    <w:name w:val="heading 2"/>
    <w:basedOn w:val="1"/>
    <w:next w:val="1"/>
    <w:link w:val="23"/>
    <w:qFormat/>
    <w:uiPriority w:val="1"/>
    <w:pPr>
      <w:spacing w:before="54"/>
      <w:ind w:left="231"/>
      <w:outlineLvl w:val="1"/>
    </w:pPr>
    <w:rPr>
      <w:rFonts w:ascii="黑体" w:hAnsi="黑体" w:eastAsia="黑体" w:cs="黑体"/>
      <w:sz w:val="32"/>
      <w:szCs w:val="32"/>
    </w:rPr>
  </w:style>
  <w:style w:type="paragraph" w:styleId="5">
    <w:name w:val="heading 3"/>
    <w:basedOn w:val="1"/>
    <w:next w:val="1"/>
    <w:link w:val="24"/>
    <w:qFormat/>
    <w:uiPriority w:val="1"/>
    <w:pPr>
      <w:ind w:right="257"/>
      <w:jc w:val="center"/>
      <w:outlineLvl w:val="2"/>
    </w:pPr>
    <w:rPr>
      <w:b/>
      <w:bCs/>
      <w:sz w:val="30"/>
      <w:szCs w:val="3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6">
    <w:name w:val="annotation text"/>
    <w:basedOn w:val="1"/>
    <w:link w:val="27"/>
    <w:unhideWhenUsed/>
    <w:qFormat/>
    <w:uiPriority w:val="99"/>
    <w:pPr>
      <w:widowControl/>
      <w:autoSpaceDE/>
      <w:autoSpaceDN/>
      <w:spacing w:after="11" w:line="268" w:lineRule="auto"/>
      <w:ind w:left="20" w:hanging="10"/>
    </w:pPr>
    <w:rPr>
      <w:rFonts w:ascii="华文宋体" w:hAnsi="华文宋体" w:eastAsia="华文宋体" w:cs="华文宋体"/>
      <w:color w:val="000000"/>
      <w:kern w:val="2"/>
      <w:sz w:val="24"/>
      <w:lang w:val="en-US" w:bidi="ar-SA"/>
    </w:rPr>
  </w:style>
  <w:style w:type="paragraph" w:styleId="7">
    <w:name w:val="Body Text"/>
    <w:basedOn w:val="1"/>
    <w:link w:val="25"/>
    <w:qFormat/>
    <w:uiPriority w:val="1"/>
    <w:pPr>
      <w:ind w:left="231"/>
    </w:pPr>
    <w:rPr>
      <w:sz w:val="30"/>
      <w:szCs w:val="30"/>
    </w:rPr>
  </w:style>
  <w:style w:type="paragraph" w:styleId="8">
    <w:name w:val="Balloon Text"/>
    <w:basedOn w:val="1"/>
    <w:link w:val="26"/>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96"/>
      <w:ind w:right="491"/>
      <w:jc w:val="right"/>
    </w:pPr>
    <w:rPr>
      <w:sz w:val="30"/>
      <w:szCs w:val="30"/>
    </w:rPr>
  </w:style>
  <w:style w:type="paragraph" w:styleId="12">
    <w:name w:val="toc 2"/>
    <w:basedOn w:val="1"/>
    <w:next w:val="1"/>
    <w:unhideWhenUsed/>
    <w:qFormat/>
    <w:uiPriority w:val="39"/>
    <w:pPr>
      <w:ind w:left="420" w:leftChars="200"/>
    </w:p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ind w:left="231" w:firstLine="600"/>
    </w:pPr>
  </w:style>
  <w:style w:type="paragraph" w:customStyle="1" w:styleId="19">
    <w:name w:val="Table Paragraph"/>
    <w:basedOn w:val="1"/>
    <w:qFormat/>
    <w:uiPriority w:val="1"/>
  </w:style>
  <w:style w:type="character" w:customStyle="1" w:styleId="20">
    <w:name w:val="标题 1 Char"/>
    <w:basedOn w:val="15"/>
    <w:link w:val="3"/>
    <w:qFormat/>
    <w:uiPriority w:val="1"/>
    <w:rPr>
      <w:rFonts w:ascii="仿宋" w:hAnsi="仿宋" w:eastAsia="仿宋" w:cs="仿宋"/>
      <w:b/>
      <w:bCs/>
      <w:sz w:val="36"/>
      <w:szCs w:val="36"/>
      <w:lang w:val="zh-CN" w:eastAsia="zh-CN" w:bidi="zh-CN"/>
    </w:rPr>
  </w:style>
  <w:style w:type="character" w:customStyle="1" w:styleId="21">
    <w:name w:val="页眉 Char"/>
    <w:basedOn w:val="15"/>
    <w:link w:val="10"/>
    <w:qFormat/>
    <w:uiPriority w:val="99"/>
    <w:rPr>
      <w:rFonts w:ascii="仿宋" w:hAnsi="仿宋" w:eastAsia="仿宋" w:cs="仿宋"/>
      <w:sz w:val="18"/>
      <w:szCs w:val="18"/>
      <w:lang w:val="zh-CN" w:eastAsia="zh-CN" w:bidi="zh-CN"/>
    </w:rPr>
  </w:style>
  <w:style w:type="character" w:customStyle="1" w:styleId="22">
    <w:name w:val="页脚 Char"/>
    <w:basedOn w:val="15"/>
    <w:link w:val="9"/>
    <w:qFormat/>
    <w:uiPriority w:val="99"/>
    <w:rPr>
      <w:rFonts w:ascii="仿宋" w:hAnsi="仿宋" w:eastAsia="仿宋" w:cs="仿宋"/>
      <w:sz w:val="18"/>
      <w:szCs w:val="18"/>
      <w:lang w:val="zh-CN" w:eastAsia="zh-CN" w:bidi="zh-CN"/>
    </w:rPr>
  </w:style>
  <w:style w:type="character" w:customStyle="1" w:styleId="23">
    <w:name w:val="标题 2 Char"/>
    <w:basedOn w:val="15"/>
    <w:link w:val="4"/>
    <w:qFormat/>
    <w:uiPriority w:val="1"/>
    <w:rPr>
      <w:rFonts w:ascii="黑体" w:hAnsi="黑体" w:eastAsia="黑体" w:cs="黑体"/>
      <w:sz w:val="32"/>
      <w:szCs w:val="32"/>
      <w:lang w:val="zh-CN" w:eastAsia="zh-CN" w:bidi="zh-CN"/>
    </w:rPr>
  </w:style>
  <w:style w:type="character" w:customStyle="1" w:styleId="24">
    <w:name w:val="标题 3 Char"/>
    <w:basedOn w:val="15"/>
    <w:link w:val="5"/>
    <w:qFormat/>
    <w:uiPriority w:val="1"/>
    <w:rPr>
      <w:rFonts w:ascii="仿宋" w:hAnsi="仿宋" w:eastAsia="仿宋" w:cs="仿宋"/>
      <w:b/>
      <w:bCs/>
      <w:sz w:val="30"/>
      <w:szCs w:val="30"/>
      <w:lang w:val="zh-CN" w:eastAsia="zh-CN" w:bidi="zh-CN"/>
    </w:rPr>
  </w:style>
  <w:style w:type="character" w:customStyle="1" w:styleId="25">
    <w:name w:val="正文文本 Char"/>
    <w:basedOn w:val="15"/>
    <w:link w:val="7"/>
    <w:qFormat/>
    <w:uiPriority w:val="1"/>
    <w:rPr>
      <w:rFonts w:ascii="仿宋" w:hAnsi="仿宋" w:eastAsia="仿宋" w:cs="仿宋"/>
      <w:sz w:val="30"/>
      <w:szCs w:val="30"/>
      <w:lang w:val="zh-CN" w:eastAsia="zh-CN" w:bidi="zh-CN"/>
    </w:rPr>
  </w:style>
  <w:style w:type="character" w:customStyle="1" w:styleId="26">
    <w:name w:val="批注框文本 Char"/>
    <w:basedOn w:val="15"/>
    <w:link w:val="8"/>
    <w:semiHidden/>
    <w:qFormat/>
    <w:uiPriority w:val="99"/>
    <w:rPr>
      <w:rFonts w:ascii="仿宋" w:hAnsi="仿宋" w:eastAsia="仿宋" w:cs="仿宋"/>
      <w:sz w:val="18"/>
      <w:szCs w:val="18"/>
      <w:lang w:val="zh-CN" w:eastAsia="zh-CN" w:bidi="zh-CN"/>
    </w:rPr>
  </w:style>
  <w:style w:type="character" w:customStyle="1" w:styleId="27">
    <w:name w:val="批注文字 Char"/>
    <w:basedOn w:val="15"/>
    <w:link w:val="6"/>
    <w:qFormat/>
    <w:uiPriority w:val="99"/>
    <w:rPr>
      <w:rFonts w:ascii="华文宋体" w:hAnsi="华文宋体" w:eastAsia="华文宋体" w:cs="华文宋体"/>
      <w:color w:val="000000"/>
      <w:kern w:val="2"/>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9A9F37-296E-46C3-BE99-38E5BE0EE72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2649</Words>
  <Characters>15104</Characters>
  <Lines>125</Lines>
  <Paragraphs>35</Paragraphs>
  <TotalTime>3</TotalTime>
  <ScaleCrop>false</ScaleCrop>
  <LinksUpToDate>false</LinksUpToDate>
  <CharactersWithSpaces>17718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2021-03-27T07:25:00Z</dcterms:created>
  <dc:creator>Lenovo</dc:creator>
  <cp:lastModifiedBy>云端</cp:lastModifiedBy>
  <cp:lastPrinted>2021-07-16T09:12:00Z</cp:lastPrinted>
  <dcterms:modified xsi:type="dcterms:W3CDTF">2021-07-19T01:14:38Z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2020-07-29T00:00:00Z</vt:filetime>
  </property>
  <property fmtid="{D5CDD505-2E9C-101B-9397-08002B2CF9AE}" pid="3" name="Creator">
    <vt:lpwstr>WPS 文字</vt:lpwstr>
  </property>
  <property fmtid="{D5CDD505-2E9C-101B-9397-08002B2CF9AE}" pid="4" name="LastSaved">
    <vt:filetime>2020-09-12T00:00:00Z</vt:filetime>
  </property>
  <property fmtid="{D5CDD505-2E9C-101B-9397-08002B2CF9AE}" pid="5" name="KSOProductBuildVer">
    <vt:lpwstr>2052-11.1.0.10578</vt:lpwstr>
  </property>
  <property fmtid="{D5CDD505-2E9C-101B-9397-08002B2CF9AE}" pid="6" name="ICV">
    <vt:lpwstr>A8BCABABC6B0405C81272AAF5C8E45B3</vt:lpwstr>
  </property>
  <property fmtid="{D5CDD505-2E9C-101B-9397-08002B2CF9AE}" pid="7" name="ribbonExt">
    <vt:lpwstr>{"WPSExtOfficeTab":{"OnGetEnabled":false,"OnGetVisible":false}}</vt:lpwstr>
  </property>
</Properties>
</file>