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F4044">
      <w:pPr>
        <w:widowControl/>
        <w:autoSpaceDE w:val="0"/>
        <w:autoSpaceDN w:val="0"/>
        <w:adjustRightInd w:val="0"/>
        <w:jc w:val="left"/>
        <w:rPr>
          <w:rFonts w:ascii="Times New Roman" w:hAnsi="Times New Roman" w:eastAsia="黑体"/>
          <w:kern w:val="0"/>
          <w:szCs w:val="21"/>
        </w:rPr>
      </w:pPr>
      <w:r>
        <w:rPr>
          <w:rFonts w:ascii="Times New Roman" w:hAnsi="Times New Roman" w:eastAsia="黑体"/>
          <w:kern w:val="0"/>
          <w:sz w:val="32"/>
          <w:szCs w:val="32"/>
          <w:lang w:bidi="ar"/>
        </w:rPr>
        <w:t>附件2</w:t>
      </w:r>
    </w:p>
    <w:p w14:paraId="603115CA">
      <w:pPr>
        <w:autoSpaceDE w:val="0"/>
        <w:spacing w:line="600" w:lineRule="exact"/>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bidi="ar"/>
        </w:rPr>
        <w:t xml:space="preserve"> </w:t>
      </w:r>
    </w:p>
    <w:p w14:paraId="53A27FFC">
      <w:pPr>
        <w:autoSpaceDE w:val="0"/>
        <w:spacing w:line="700" w:lineRule="exact"/>
        <w:jc w:val="center"/>
        <w:rPr>
          <w:rFonts w:hint="eastAsia" w:ascii="Times New Roman" w:hAnsi="Times New Roman" w:eastAsia="方正小标宋_GBK"/>
          <w:color w:val="000000"/>
          <w:sz w:val="44"/>
          <w:szCs w:val="44"/>
        </w:rPr>
      </w:pPr>
      <w:r>
        <w:rPr>
          <w:rFonts w:hint="eastAsia" w:ascii="方正小标宋简体" w:hAnsi="方正小标宋简体" w:eastAsia="方正小标宋简体" w:cs="方正小标宋简体"/>
          <w:color w:val="000000"/>
          <w:sz w:val="44"/>
          <w:szCs w:val="44"/>
          <w:lang w:bidi="ar"/>
        </w:rPr>
        <w:t>《</w:t>
      </w:r>
      <w:r>
        <w:rPr>
          <w:rFonts w:hint="eastAsia" w:ascii="方正小标宋简体" w:hAnsi="方正小标宋简体" w:eastAsia="方正小标宋简体" w:cs="方正小标宋简体"/>
          <w:color w:val="000000"/>
          <w:sz w:val="44"/>
          <w:szCs w:val="44"/>
          <w:lang w:val="en-US" w:eastAsia="zh-CN" w:bidi="ar"/>
        </w:rPr>
        <w:t>甘肃省</w:t>
      </w:r>
      <w:r>
        <w:rPr>
          <w:rFonts w:hint="eastAsia" w:ascii="方正小标宋简体" w:hAnsi="方正小标宋简体" w:eastAsia="方正小标宋简体" w:cs="方正小标宋简体"/>
          <w:color w:val="000000"/>
          <w:sz w:val="44"/>
          <w:szCs w:val="44"/>
          <w:lang w:bidi="ar"/>
        </w:rPr>
        <w:t>建立长期护理保险制度的实施方案（征求意见稿）》起草说明</w:t>
      </w:r>
    </w:p>
    <w:p w14:paraId="1C14B992">
      <w:pPr>
        <w:autoSpaceDE w:val="0"/>
        <w:snapToGrid w:val="0"/>
        <w:spacing w:line="579" w:lineRule="exact"/>
        <w:ind w:firstLine="640" w:firstLineChars="200"/>
        <w:rPr>
          <w:rFonts w:hint="eastAsia" w:ascii="Times New Roman" w:hAnsi="Times New Roman" w:eastAsia="方正黑体_GBK" w:cs="方正黑体_GBK"/>
          <w:color w:val="000000"/>
          <w:sz w:val="32"/>
          <w:szCs w:val="32"/>
        </w:rPr>
      </w:pPr>
      <w:r>
        <w:rPr>
          <w:rFonts w:hint="eastAsia" w:ascii="Times New Roman" w:hAnsi="Times New Roman" w:eastAsia="方正黑体_GBK" w:cs="方正黑体_GBK"/>
          <w:color w:val="000000"/>
          <w:sz w:val="32"/>
          <w:szCs w:val="32"/>
          <w:lang w:bidi="ar"/>
        </w:rPr>
        <w:t xml:space="preserve"> </w:t>
      </w:r>
    </w:p>
    <w:p w14:paraId="621FD367">
      <w:pPr>
        <w:keepNext w:val="0"/>
        <w:keepLines w:val="0"/>
        <w:pageBreakBefore w:val="0"/>
        <w:widowControl w:val="0"/>
        <w:kinsoku/>
        <w:wordWrap/>
        <w:overflowPunct/>
        <w:topLinePunct w:val="0"/>
        <w:autoSpaceDE w:val="0"/>
        <w:autoSpaceDN/>
        <w:bidi w:val="0"/>
        <w:adjustRightInd/>
        <w:snapToGrid w:val="0"/>
        <w:spacing w:line="60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sz w:val="32"/>
          <w:szCs w:val="32"/>
          <w:lang w:bidi="ar"/>
        </w:rPr>
        <w:t>一、</w:t>
      </w:r>
      <w:r>
        <w:rPr>
          <w:rFonts w:hint="eastAsia" w:ascii="黑体" w:hAnsi="黑体" w:eastAsia="黑体" w:cs="黑体"/>
          <w:color w:val="000000"/>
          <w:kern w:val="0"/>
          <w:sz w:val="32"/>
          <w:szCs w:val="32"/>
          <w:lang w:bidi="ar"/>
        </w:rPr>
        <w:t>起草背景和过程</w:t>
      </w:r>
    </w:p>
    <w:p w14:paraId="79FE0D8D">
      <w:pPr>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sz w:val="32"/>
          <w:szCs w:val="32"/>
          <w:lang w:bidi="ar"/>
        </w:rPr>
        <w:t>建立长期护理保险制度是党中央、国务院的改革部署，党的二十大明确“建立长期护理保险制度”，党的二十届三中全会</w:t>
      </w:r>
      <w:r>
        <w:rPr>
          <w:rFonts w:hint="eastAsia" w:ascii="仿宋_GB2312" w:hAnsi="仿宋_GB2312" w:eastAsia="仿宋_GB2312" w:cs="仿宋_GB2312"/>
          <w:color w:val="000000"/>
          <w:sz w:val="32"/>
          <w:szCs w:val="32"/>
          <w:lang w:val="en-US" w:eastAsia="zh-CN" w:bidi="ar"/>
        </w:rPr>
        <w:t>要求</w:t>
      </w:r>
      <w:r>
        <w:rPr>
          <w:rFonts w:hint="eastAsia" w:ascii="仿宋_GB2312" w:hAnsi="仿宋_GB2312" w:eastAsia="仿宋_GB2312" w:cs="仿宋_GB2312"/>
          <w:color w:val="000000"/>
          <w:sz w:val="32"/>
          <w:szCs w:val="32"/>
          <w:lang w:bidi="ar"/>
        </w:rPr>
        <w:t>“加快建立长期护理保险制度”，相关工作6次写入国务院政府工作报告、2次列入国家五年规划。从2016年开始，</w:t>
      </w:r>
      <w:r>
        <w:rPr>
          <w:rFonts w:hint="eastAsia" w:ascii="仿宋_GB2312" w:hAnsi="仿宋_GB2312" w:eastAsia="仿宋_GB2312" w:cs="仿宋_GB2312"/>
          <w:color w:val="000000"/>
          <w:sz w:val="32"/>
          <w:szCs w:val="32"/>
          <w:lang w:val="en-US" w:eastAsia="zh-CN" w:bidi="ar"/>
        </w:rPr>
        <w:t>国家分两批安排</w:t>
      </w:r>
      <w:r>
        <w:rPr>
          <w:rFonts w:hint="eastAsia" w:ascii="仿宋_GB2312" w:hAnsi="仿宋_GB2312" w:eastAsia="仿宋_GB2312" w:cs="仿宋_GB2312"/>
          <w:color w:val="000000"/>
          <w:sz w:val="32"/>
          <w:szCs w:val="32"/>
          <w:lang w:bidi="ar"/>
        </w:rPr>
        <w:t>全国</w:t>
      </w:r>
      <w:r>
        <w:rPr>
          <w:rFonts w:hint="eastAsia" w:ascii="仿宋_GB2312" w:hAnsi="仿宋_GB2312" w:eastAsia="仿宋_GB2312" w:cs="仿宋_GB2312"/>
          <w:color w:val="000000"/>
          <w:sz w:val="32"/>
          <w:szCs w:val="32"/>
          <w:lang w:val="en-US" w:eastAsia="zh-CN" w:bidi="ar"/>
        </w:rPr>
        <w:t>49个城市</w:t>
      </w:r>
      <w:r>
        <w:rPr>
          <w:rFonts w:hint="eastAsia" w:ascii="仿宋_GB2312" w:hAnsi="仿宋_GB2312" w:eastAsia="仿宋_GB2312" w:cs="仿宋_GB2312"/>
          <w:color w:val="000000"/>
          <w:sz w:val="32"/>
          <w:szCs w:val="32"/>
          <w:lang w:bidi="ar"/>
        </w:rPr>
        <w:t>开</w:t>
      </w:r>
      <w:r>
        <w:rPr>
          <w:rFonts w:hint="eastAsia" w:ascii="仿宋_GB2312" w:hAnsi="仿宋_GB2312" w:eastAsia="仿宋_GB2312" w:cs="仿宋_GB2312"/>
          <w:color w:val="000000"/>
          <w:sz w:val="32"/>
          <w:szCs w:val="32"/>
          <w:lang w:val="en-US" w:eastAsia="zh-CN" w:bidi="ar"/>
        </w:rPr>
        <w:t>展</w:t>
      </w:r>
      <w:r>
        <w:rPr>
          <w:rFonts w:hint="eastAsia" w:ascii="仿宋_GB2312" w:hAnsi="仿宋_GB2312" w:eastAsia="仿宋_GB2312" w:cs="仿宋_GB2312"/>
          <w:color w:val="000000"/>
          <w:sz w:val="32"/>
          <w:szCs w:val="32"/>
          <w:lang w:bidi="ar"/>
        </w:rPr>
        <w:t>试点工作，</w:t>
      </w:r>
      <w:r>
        <w:rPr>
          <w:rFonts w:hint="eastAsia" w:ascii="仿宋_GB2312" w:hAnsi="仿宋_GB2312" w:eastAsia="仿宋_GB2312" w:cs="仿宋_GB2312"/>
          <w:color w:val="000000"/>
          <w:sz w:val="32"/>
          <w:szCs w:val="32"/>
          <w:lang w:val="en-US" w:eastAsia="zh-CN" w:bidi="ar"/>
        </w:rPr>
        <w:t>目前已形成了较为统一的政策标准和指导意见。</w:t>
      </w:r>
      <w:r>
        <w:rPr>
          <w:rFonts w:hint="eastAsia" w:ascii="仿宋_GB2312" w:hAnsi="仿宋_GB2312" w:eastAsia="仿宋_GB2312" w:cs="仿宋_GB2312"/>
          <w:color w:val="000000"/>
          <w:kern w:val="0"/>
          <w:sz w:val="32"/>
          <w:szCs w:val="32"/>
          <w:lang w:bidi="ar"/>
        </w:rPr>
        <w:t xml:space="preserve">  </w:t>
      </w:r>
    </w:p>
    <w:p w14:paraId="1160A606">
      <w:pPr>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kern w:val="0"/>
          <w:sz w:val="32"/>
          <w:szCs w:val="32"/>
          <w:lang w:bidi="ar"/>
        </w:rPr>
        <w:t>为贯彻落实国家关于加快长期护理保险制度建设的安排部署，</w:t>
      </w:r>
      <w:r>
        <w:rPr>
          <w:rFonts w:hint="eastAsia" w:ascii="仿宋_GB2312" w:hAnsi="仿宋_GB2312" w:eastAsia="仿宋_GB2312" w:cs="仿宋_GB2312"/>
          <w:color w:val="000000"/>
          <w:kern w:val="0"/>
          <w:sz w:val="32"/>
          <w:szCs w:val="32"/>
          <w:lang w:val="en-US" w:eastAsia="zh-CN" w:bidi="ar"/>
        </w:rPr>
        <w:t>甘肃省委已将制定</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sz w:val="32"/>
          <w:szCs w:val="32"/>
          <w:lang w:val="en-US" w:eastAsia="zh-CN" w:bidi="ar"/>
        </w:rPr>
        <w:t>甘肃</w:t>
      </w:r>
      <w:r>
        <w:rPr>
          <w:rFonts w:hint="eastAsia" w:ascii="仿宋_GB2312" w:hAnsi="仿宋_GB2312" w:eastAsia="仿宋_GB2312" w:cs="仿宋_GB2312"/>
          <w:color w:val="000000"/>
          <w:sz w:val="32"/>
          <w:szCs w:val="32"/>
          <w:lang w:bidi="ar"/>
        </w:rPr>
        <w:t>省</w:t>
      </w:r>
      <w:r>
        <w:rPr>
          <w:rFonts w:hint="eastAsia" w:ascii="仿宋_GB2312" w:hAnsi="仿宋_GB2312" w:eastAsia="仿宋_GB2312" w:cs="仿宋_GB2312"/>
          <w:color w:val="000000"/>
          <w:sz w:val="32"/>
          <w:szCs w:val="32"/>
          <w:lang w:val="en-US" w:eastAsia="zh-CN" w:bidi="ar"/>
        </w:rPr>
        <w:t>建立长期护理保险制度的实施方案</w:t>
      </w:r>
      <w:r>
        <w:rPr>
          <w:rFonts w:hint="eastAsia" w:ascii="仿宋_GB2312" w:hAnsi="仿宋_GB2312" w:eastAsia="仿宋_GB2312" w:cs="仿宋_GB2312"/>
          <w:color w:val="000000"/>
          <w:sz w:val="32"/>
          <w:szCs w:val="32"/>
          <w:lang w:bidi="ar"/>
        </w:rPr>
        <w:t>”列入</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val="en-US" w:eastAsia="zh-CN" w:bidi="ar"/>
        </w:rPr>
        <w:t>2026年度省委重点工作、重要会议、重要文件、重大活动清单</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。为推进我省长期护理保险全面建制，我们</w:t>
      </w:r>
      <w:r>
        <w:rPr>
          <w:rFonts w:hint="eastAsia" w:ascii="仿宋_GB2312" w:hAnsi="仿宋_GB2312" w:eastAsia="仿宋_GB2312" w:cs="仿宋_GB2312"/>
          <w:color w:val="000000"/>
          <w:sz w:val="32"/>
          <w:szCs w:val="32"/>
          <w:lang w:val="en-US" w:eastAsia="zh-CN" w:bidi="ar"/>
        </w:rPr>
        <w:t>在国家政策框架下，</w:t>
      </w:r>
      <w:r>
        <w:rPr>
          <w:rFonts w:hint="eastAsia" w:ascii="仿宋_GB2312" w:hAnsi="仿宋_GB2312" w:eastAsia="仿宋_GB2312" w:cs="仿宋_GB2312"/>
          <w:color w:val="000000"/>
          <w:sz w:val="32"/>
          <w:szCs w:val="32"/>
          <w:lang w:bidi="ar"/>
        </w:rPr>
        <w:t>经广泛征求省级相关部门及市州医保局意见建议，多轮修改完善后形成</w:t>
      </w:r>
      <w:r>
        <w:rPr>
          <w:rFonts w:hint="eastAsia" w:ascii="仿宋_GB2312" w:hAnsi="仿宋_GB2312" w:eastAsia="仿宋_GB2312" w:cs="仿宋_GB2312"/>
          <w:color w:val="000000"/>
          <w:sz w:val="32"/>
          <w:szCs w:val="32"/>
          <w:lang w:val="en-US" w:eastAsia="zh-CN" w:bidi="ar"/>
        </w:rPr>
        <w:t>了</w:t>
      </w:r>
      <w:r>
        <w:rPr>
          <w:rFonts w:hint="eastAsia" w:ascii="仿宋_GB2312" w:hAnsi="仿宋_GB2312" w:eastAsia="仿宋_GB2312" w:cs="仿宋_GB2312"/>
          <w:color w:val="000000"/>
          <w:sz w:val="32"/>
          <w:szCs w:val="32"/>
          <w:lang w:bidi="ar"/>
        </w:rPr>
        <w:t>征求意见稿。</w:t>
      </w:r>
    </w:p>
    <w:p w14:paraId="43CDDC0B">
      <w:pPr>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eastAsia" w:ascii="黑体" w:hAnsi="黑体" w:eastAsia="黑体" w:cs="黑体"/>
          <w:color w:val="000000"/>
          <w:sz w:val="32"/>
          <w:szCs w:val="32"/>
          <w:lang w:bidi="ar"/>
        </w:rPr>
      </w:pPr>
      <w:r>
        <w:rPr>
          <w:rFonts w:hint="eastAsia" w:ascii="黑体" w:hAnsi="黑体" w:eastAsia="黑体" w:cs="黑体"/>
          <w:color w:val="000000"/>
          <w:sz w:val="32"/>
          <w:szCs w:val="32"/>
          <w:lang w:bidi="ar"/>
        </w:rPr>
        <w:t>二、主要特点及内容</w:t>
      </w:r>
    </w:p>
    <w:p w14:paraId="4B7F5DC0">
      <w:pPr>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《实施方案》具有三个特点：一是</w:t>
      </w:r>
      <w:r>
        <w:rPr>
          <w:rFonts w:hint="eastAsia" w:ascii="仿宋_GB2312" w:hAnsi="仿宋_GB2312" w:eastAsia="仿宋_GB2312" w:cs="仿宋_GB2312"/>
          <w:color w:val="000000"/>
          <w:sz w:val="32"/>
          <w:szCs w:val="32"/>
          <w:lang w:val="en-US" w:eastAsia="zh-CN" w:bidi="ar"/>
        </w:rPr>
        <w:t>严格</w:t>
      </w:r>
      <w:r>
        <w:rPr>
          <w:rFonts w:hint="eastAsia" w:ascii="仿宋_GB2312" w:hAnsi="仿宋_GB2312" w:eastAsia="仿宋_GB2312" w:cs="仿宋_GB2312"/>
          <w:color w:val="000000"/>
          <w:sz w:val="32"/>
          <w:szCs w:val="32"/>
          <w:lang w:bidi="ar"/>
        </w:rPr>
        <w:t>对标对表落实国家改革要求。如，采纳国家明确的0.3%基准费率作为我省</w:t>
      </w:r>
      <w:r>
        <w:rPr>
          <w:rFonts w:hint="eastAsia" w:ascii="仿宋_GB2312" w:hAnsi="仿宋_GB2312" w:eastAsia="仿宋_GB2312" w:cs="仿宋_GB2312"/>
          <w:color w:val="000000"/>
          <w:sz w:val="32"/>
          <w:szCs w:val="32"/>
          <w:lang w:val="en-US" w:eastAsia="zh-CN" w:bidi="ar"/>
        </w:rPr>
        <w:t>各统筹区</w:t>
      </w:r>
      <w:r>
        <w:rPr>
          <w:rFonts w:hint="eastAsia" w:ascii="仿宋_GB2312" w:hAnsi="仿宋_GB2312" w:eastAsia="仿宋_GB2312" w:cs="仿宋_GB2312"/>
          <w:color w:val="000000"/>
          <w:sz w:val="32"/>
          <w:szCs w:val="32"/>
          <w:lang w:bidi="ar"/>
        </w:rPr>
        <w:t>费率。又如，按照国家“未就业城乡居民费率减半从0.15%起步，用5年左右时间过渡0.3%左右”的要求，明确各统筹地区</w:t>
      </w:r>
      <w:r>
        <w:rPr>
          <w:rFonts w:hint="eastAsia" w:ascii="仿宋_GB2312" w:hAnsi="仿宋_GB2312" w:eastAsia="仿宋_GB2312" w:cs="仿宋_GB2312"/>
          <w:color w:val="auto"/>
          <w:kern w:val="2"/>
          <w:sz w:val="32"/>
          <w:szCs w:val="32"/>
          <w:lang w:val="en-US" w:eastAsia="zh-CN" w:bidi="ar-SA"/>
        </w:rPr>
        <w:t>启动当年费率可减半从0.15%起步，</w:t>
      </w:r>
      <w:r>
        <w:rPr>
          <w:rFonts w:hint="eastAsia" w:ascii="仿宋_GB2312" w:hAnsi="仿宋_GB2312" w:eastAsia="仿宋_GB2312" w:cs="仿宋_GB2312"/>
          <w:color w:val="000000"/>
          <w:sz w:val="32"/>
          <w:szCs w:val="32"/>
          <w:lang w:val="en-US" w:eastAsia="zh-CN" w:bidi="ar"/>
        </w:rPr>
        <w:t>用五年时间</w:t>
      </w:r>
      <w:r>
        <w:rPr>
          <w:rFonts w:hint="eastAsia" w:ascii="仿宋_GB2312" w:hAnsi="仿宋_GB2312" w:eastAsia="仿宋_GB2312" w:cs="仿宋_GB2312"/>
          <w:color w:val="000000"/>
          <w:sz w:val="32"/>
          <w:szCs w:val="32"/>
          <w:lang w:bidi="ar"/>
        </w:rPr>
        <w:t>过渡到0.3%。《实施方案》中所有政策设计均未突破国家制度框架，符合国家政策要求。二是坚持制度的规范性和</w:t>
      </w:r>
      <w:r>
        <w:rPr>
          <w:rFonts w:hint="eastAsia" w:ascii="仿宋_GB2312" w:hAnsi="仿宋_GB2312" w:eastAsia="仿宋_GB2312" w:cs="仿宋_GB2312"/>
          <w:color w:val="000000"/>
          <w:sz w:val="32"/>
          <w:szCs w:val="32"/>
          <w:lang w:val="en-US" w:eastAsia="zh-CN" w:bidi="ar"/>
        </w:rPr>
        <w:t>相对</w:t>
      </w:r>
      <w:r>
        <w:rPr>
          <w:rFonts w:hint="eastAsia" w:ascii="仿宋_GB2312" w:hAnsi="仿宋_GB2312" w:eastAsia="仿宋_GB2312" w:cs="仿宋_GB2312"/>
          <w:color w:val="000000"/>
          <w:sz w:val="32"/>
          <w:szCs w:val="32"/>
          <w:lang w:bidi="ar"/>
        </w:rPr>
        <w:t>统一</w:t>
      </w:r>
      <w:r>
        <w:rPr>
          <w:rFonts w:hint="eastAsia" w:ascii="仿宋_GB2312" w:hAnsi="仿宋_GB2312" w:eastAsia="仿宋_GB2312" w:cs="仿宋_GB2312"/>
          <w:color w:val="000000"/>
          <w:sz w:val="32"/>
          <w:szCs w:val="32"/>
          <w:lang w:val="en-US" w:eastAsia="zh-CN" w:bidi="ar"/>
        </w:rPr>
        <w:t>性</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统筹层次上，</w:t>
      </w:r>
      <w:r>
        <w:rPr>
          <w:rFonts w:hint="eastAsia" w:ascii="仿宋_GB2312" w:hAnsi="仿宋_GB2312" w:eastAsia="仿宋_GB2312" w:cs="仿宋_GB2312"/>
          <w:color w:val="000000"/>
          <w:sz w:val="32"/>
          <w:szCs w:val="32"/>
          <w:lang w:val="en-US" w:eastAsia="zh-CN" w:bidi="ar"/>
        </w:rPr>
        <w:t>明确从市</w:t>
      </w:r>
      <w:r>
        <w:rPr>
          <w:rFonts w:hint="eastAsia" w:ascii="仿宋_GB2312" w:hAnsi="仿宋_GB2312" w:eastAsia="仿宋_GB2312" w:cs="仿宋_GB2312"/>
          <w:color w:val="000000"/>
          <w:sz w:val="32"/>
          <w:szCs w:val="32"/>
          <w:lang w:bidi="ar"/>
        </w:rPr>
        <w:t>州级统筹起步</w:t>
      </w:r>
      <w:r>
        <w:rPr>
          <w:rFonts w:hint="eastAsia" w:ascii="仿宋_GB2312" w:hAnsi="仿宋_GB2312" w:eastAsia="仿宋_GB2312" w:cs="仿宋_GB2312"/>
          <w:color w:val="000000"/>
          <w:sz w:val="32"/>
          <w:szCs w:val="32"/>
          <w:lang w:val="en-US" w:eastAsia="zh-CN" w:bidi="ar"/>
        </w:rPr>
        <w:t>；</w:t>
      </w:r>
      <w:r>
        <w:rPr>
          <w:rFonts w:hint="eastAsia" w:ascii="仿宋_GB2312" w:hAnsi="仿宋_GB2312" w:eastAsia="仿宋_GB2312" w:cs="仿宋_GB2312"/>
          <w:color w:val="000000"/>
          <w:sz w:val="32"/>
          <w:szCs w:val="32"/>
          <w:lang w:bidi="ar"/>
        </w:rPr>
        <w:t>资金上，</w:t>
      </w:r>
      <w:r>
        <w:rPr>
          <w:rFonts w:hint="eastAsia" w:ascii="仿宋_GB2312" w:hAnsi="仿宋_GB2312" w:eastAsia="仿宋_GB2312" w:cs="仿宋_GB2312"/>
          <w:snapToGrid/>
          <w:color w:val="auto"/>
          <w:kern w:val="2"/>
          <w:sz w:val="32"/>
          <w:szCs w:val="32"/>
          <w:u w:val="none"/>
          <w:lang w:val="en-US" w:eastAsia="zh-CN" w:bidi="ar"/>
        </w:rPr>
        <w:t>基金统一建账、资金统收统支。明确了</w:t>
      </w:r>
      <w:r>
        <w:rPr>
          <w:rFonts w:hint="eastAsia" w:ascii="仿宋_GB2312" w:hAnsi="仿宋_GB2312" w:eastAsia="仿宋_GB2312" w:cs="仿宋_GB2312"/>
          <w:color w:val="000000"/>
          <w:sz w:val="32"/>
          <w:szCs w:val="32"/>
          <w:lang w:bidi="ar"/>
        </w:rPr>
        <w:t>全省</w:t>
      </w:r>
      <w:r>
        <w:rPr>
          <w:rFonts w:hint="eastAsia" w:ascii="仿宋_GB2312" w:hAnsi="仿宋_GB2312" w:eastAsia="仿宋_GB2312" w:cs="仿宋_GB2312"/>
          <w:color w:val="000000"/>
          <w:sz w:val="32"/>
          <w:szCs w:val="32"/>
          <w:lang w:val="en-US" w:eastAsia="zh-CN" w:bidi="ar"/>
        </w:rPr>
        <w:t>参保范围、</w:t>
      </w:r>
      <w:r>
        <w:rPr>
          <w:rFonts w:hint="eastAsia" w:ascii="仿宋_GB2312" w:hAnsi="仿宋_GB2312" w:eastAsia="仿宋_GB2312" w:cs="仿宋_GB2312"/>
          <w:color w:val="000000"/>
          <w:sz w:val="32"/>
          <w:szCs w:val="32"/>
          <w:lang w:bidi="ar"/>
        </w:rPr>
        <w:t>缴费费率、缴费基数</w:t>
      </w:r>
      <w:r>
        <w:rPr>
          <w:rFonts w:hint="eastAsia" w:ascii="仿宋_GB2312" w:hAnsi="仿宋_GB2312" w:eastAsia="仿宋_GB2312" w:cs="仿宋_GB2312"/>
          <w:color w:val="000000"/>
          <w:sz w:val="32"/>
          <w:szCs w:val="32"/>
          <w:lang w:val="en-US" w:eastAsia="zh-CN" w:bidi="ar"/>
        </w:rPr>
        <w:t>等政策</w:t>
      </w:r>
      <w:r>
        <w:rPr>
          <w:rFonts w:hint="eastAsia" w:ascii="仿宋_GB2312" w:hAnsi="仿宋_GB2312" w:eastAsia="仿宋_GB2312" w:cs="仿宋_GB2312"/>
          <w:color w:val="000000"/>
          <w:sz w:val="32"/>
          <w:szCs w:val="32"/>
          <w:lang w:bidi="ar"/>
        </w:rPr>
        <w:t>，设定统一的失能评估、经办服务政策机制。三是用足用好政策，最大限度不增加</w:t>
      </w:r>
      <w:r>
        <w:rPr>
          <w:rFonts w:hint="eastAsia" w:ascii="仿宋_GB2312" w:hAnsi="仿宋_GB2312" w:eastAsia="仿宋_GB2312" w:cs="仿宋_GB2312"/>
          <w:color w:val="000000"/>
          <w:sz w:val="32"/>
          <w:szCs w:val="32"/>
          <w:lang w:val="en-US" w:eastAsia="zh-CN" w:bidi="ar"/>
        </w:rPr>
        <w:t>单位</w:t>
      </w:r>
      <w:r>
        <w:rPr>
          <w:rFonts w:hint="eastAsia" w:ascii="仿宋_GB2312" w:hAnsi="仿宋_GB2312" w:eastAsia="仿宋_GB2312" w:cs="仿宋_GB2312"/>
          <w:color w:val="000000"/>
          <w:sz w:val="32"/>
          <w:szCs w:val="32"/>
          <w:lang w:bidi="ar"/>
        </w:rPr>
        <w:t>负担。在国家</w:t>
      </w:r>
      <w:r>
        <w:rPr>
          <w:rFonts w:hint="eastAsia" w:ascii="仿宋_GB2312" w:hAnsi="仿宋_GB2312" w:eastAsia="仿宋_GB2312" w:cs="仿宋_GB2312"/>
          <w:color w:val="000000"/>
          <w:sz w:val="32"/>
          <w:szCs w:val="32"/>
          <w:lang w:val="en-US" w:eastAsia="zh-CN" w:bidi="ar"/>
        </w:rPr>
        <w:t>规定</w:t>
      </w:r>
      <w:r>
        <w:rPr>
          <w:rFonts w:hint="eastAsia" w:ascii="仿宋_GB2312" w:hAnsi="仿宋_GB2312" w:eastAsia="仿宋_GB2312" w:cs="仿宋_GB2312"/>
          <w:color w:val="000000"/>
          <w:sz w:val="32"/>
          <w:szCs w:val="32"/>
          <w:lang w:bidi="ar"/>
        </w:rPr>
        <w:t>范围内，在确保医保基金中长期可持续的前提下，明确</w:t>
      </w:r>
      <w:r>
        <w:rPr>
          <w:rFonts w:hint="eastAsia" w:ascii="仿宋_GB2312" w:hAnsi="仿宋_GB2312" w:eastAsia="仿宋_GB2312" w:cs="仿宋_GB2312"/>
          <w:color w:val="000000"/>
          <w:sz w:val="32"/>
          <w:szCs w:val="32"/>
          <w:lang w:val="en-US" w:eastAsia="zh-CN" w:bidi="ar"/>
        </w:rPr>
        <w:t>可</w:t>
      </w:r>
      <w:r>
        <w:rPr>
          <w:rFonts w:hint="eastAsia" w:ascii="仿宋_GB2312" w:hAnsi="仿宋_GB2312" w:eastAsia="仿宋_GB2312" w:cs="仿宋_GB2312"/>
          <w:color w:val="000000"/>
          <w:sz w:val="32"/>
          <w:szCs w:val="32"/>
          <w:lang w:bidi="ar"/>
        </w:rPr>
        <w:t>调整职工医保单位费率0.15%，用作长期护理保险</w:t>
      </w:r>
      <w:r>
        <w:rPr>
          <w:rFonts w:hint="eastAsia" w:ascii="仿宋_GB2312" w:hAnsi="仿宋_GB2312" w:eastAsia="仿宋_GB2312" w:cs="仿宋_GB2312"/>
          <w:color w:val="000000"/>
          <w:sz w:val="32"/>
          <w:szCs w:val="32"/>
          <w:lang w:val="en-US" w:eastAsia="zh-CN" w:bidi="ar"/>
        </w:rPr>
        <w:t>在职职工</w:t>
      </w:r>
      <w:r>
        <w:rPr>
          <w:rFonts w:hint="eastAsia" w:ascii="仿宋_GB2312" w:hAnsi="仿宋_GB2312" w:eastAsia="仿宋_GB2312" w:cs="仿宋_GB2312"/>
          <w:color w:val="000000"/>
          <w:sz w:val="32"/>
          <w:szCs w:val="32"/>
          <w:lang w:bidi="ar"/>
        </w:rPr>
        <w:t>单位缴费费率</w:t>
      </w:r>
      <w:r>
        <w:rPr>
          <w:rFonts w:hint="eastAsia" w:ascii="仿宋_GB2312" w:hAnsi="仿宋_GB2312" w:eastAsia="仿宋_GB2312" w:cs="仿宋_GB2312"/>
          <w:color w:val="000000"/>
          <w:sz w:val="32"/>
          <w:szCs w:val="32"/>
          <w:lang w:val="en-US" w:eastAsia="zh-CN" w:bidi="ar"/>
        </w:rPr>
        <w:t>。</w:t>
      </w:r>
    </w:p>
    <w:p w14:paraId="703C5ABA">
      <w:pPr>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《实施方案》</w:t>
      </w:r>
      <w:r>
        <w:rPr>
          <w:rFonts w:hint="eastAsia" w:ascii="仿宋_GB2312" w:hAnsi="仿宋_GB2312" w:eastAsia="仿宋_GB2312" w:cs="仿宋_GB2312"/>
          <w:color w:val="000000"/>
          <w:sz w:val="32"/>
          <w:szCs w:val="32"/>
          <w:lang w:val="en-US" w:eastAsia="zh-CN" w:bidi="ar"/>
        </w:rPr>
        <w:t>从</w:t>
      </w:r>
      <w:r>
        <w:rPr>
          <w:rFonts w:hint="eastAsia" w:ascii="仿宋_GB2312" w:hAnsi="仿宋_GB2312" w:eastAsia="仿宋_GB2312" w:cs="仿宋_GB2312"/>
          <w:color w:val="000000"/>
          <w:sz w:val="32"/>
          <w:szCs w:val="32"/>
          <w:lang w:bidi="ar"/>
        </w:rPr>
        <w:t>目标任务</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筹资机制、待遇保障、</w:t>
      </w:r>
      <w:r>
        <w:rPr>
          <w:rFonts w:hint="eastAsia" w:ascii="仿宋_GB2312" w:hAnsi="仿宋_GB2312" w:eastAsia="仿宋_GB2312" w:cs="仿宋_GB2312"/>
          <w:color w:val="000000"/>
          <w:sz w:val="32"/>
          <w:szCs w:val="32"/>
          <w:lang w:val="en-US" w:eastAsia="zh-CN" w:bidi="ar"/>
        </w:rPr>
        <w:t>失能评估、护理</w:t>
      </w:r>
      <w:r>
        <w:rPr>
          <w:rFonts w:hint="eastAsia" w:ascii="仿宋_GB2312" w:hAnsi="仿宋_GB2312" w:eastAsia="仿宋_GB2312" w:cs="仿宋_GB2312"/>
          <w:color w:val="000000"/>
          <w:sz w:val="32"/>
          <w:szCs w:val="32"/>
          <w:lang w:bidi="ar"/>
        </w:rPr>
        <w:t>服务、</w:t>
      </w:r>
      <w:r>
        <w:rPr>
          <w:rFonts w:hint="eastAsia" w:ascii="仿宋_GB2312" w:hAnsi="仿宋_GB2312" w:eastAsia="仿宋_GB2312" w:cs="仿宋_GB2312"/>
          <w:color w:val="000000"/>
          <w:sz w:val="32"/>
          <w:szCs w:val="32"/>
          <w:lang w:val="en-US" w:eastAsia="zh-CN" w:bidi="ar"/>
        </w:rPr>
        <w:t>基金监管、经办服务、</w:t>
      </w:r>
      <w:r>
        <w:rPr>
          <w:rFonts w:hint="eastAsia" w:ascii="仿宋_GB2312" w:hAnsi="仿宋_GB2312" w:eastAsia="仿宋_GB2312" w:cs="仿宋_GB2312"/>
          <w:color w:val="000000"/>
          <w:sz w:val="32"/>
          <w:szCs w:val="32"/>
          <w:lang w:bidi="ar"/>
        </w:rPr>
        <w:t>组织</w:t>
      </w:r>
      <w:r>
        <w:rPr>
          <w:rFonts w:hint="eastAsia" w:ascii="仿宋_GB2312" w:hAnsi="仿宋_GB2312" w:eastAsia="仿宋_GB2312" w:cs="仿宋_GB2312"/>
          <w:color w:val="000000"/>
          <w:sz w:val="32"/>
          <w:szCs w:val="32"/>
          <w:lang w:val="en-US" w:eastAsia="zh-CN" w:bidi="ar"/>
        </w:rPr>
        <w:t>实施等</w:t>
      </w:r>
      <w:r>
        <w:rPr>
          <w:rFonts w:hint="eastAsia" w:ascii="仿宋_GB2312" w:hAnsi="仿宋_GB2312" w:eastAsia="仿宋_GB2312" w:cs="仿宋_GB2312"/>
          <w:color w:val="000000"/>
          <w:sz w:val="32"/>
          <w:szCs w:val="32"/>
          <w:lang w:bidi="ar"/>
        </w:rPr>
        <w:t>部分</w:t>
      </w:r>
      <w:r>
        <w:rPr>
          <w:rFonts w:hint="eastAsia" w:ascii="仿宋_GB2312" w:hAnsi="仿宋_GB2312" w:eastAsia="仿宋_GB2312" w:cs="仿宋_GB2312"/>
          <w:color w:val="000000"/>
          <w:sz w:val="32"/>
          <w:szCs w:val="32"/>
          <w:lang w:val="en-US" w:eastAsia="zh-CN" w:bidi="ar"/>
        </w:rPr>
        <w:t>明确了政策标准</w:t>
      </w:r>
      <w:r>
        <w:rPr>
          <w:rFonts w:hint="eastAsia" w:ascii="仿宋_GB2312" w:hAnsi="仿宋_GB2312" w:eastAsia="仿宋_GB2312" w:cs="仿宋_GB2312"/>
          <w:color w:val="000000"/>
          <w:sz w:val="32"/>
          <w:szCs w:val="32"/>
          <w:lang w:bidi="ar"/>
        </w:rPr>
        <w:t>。</w:t>
      </w:r>
    </w:p>
    <w:p w14:paraId="282BD361">
      <w:pPr>
        <w:keepNext w:val="0"/>
        <w:keepLines w:val="0"/>
        <w:pageBreakBefore w:val="0"/>
        <w:widowControl w:val="0"/>
        <w:numPr>
          <w:numId w:val="0"/>
        </w:numPr>
        <w:kinsoku/>
        <w:wordWrap/>
        <w:overflowPunct/>
        <w:topLinePunct w:val="0"/>
        <w:autoSpaceDE w:val="0"/>
        <w:autoSpaceDN/>
        <w:bidi w:val="0"/>
        <w:adjustRightInd/>
        <w:spacing w:line="600" w:lineRule="exact"/>
        <w:ind w:firstLine="640" w:firstLineChars="200"/>
        <w:textAlignment w:val="auto"/>
        <w:rPr>
          <w:rFonts w:hint="eastAsia" w:ascii="仿宋_GB2312" w:hAnsi="仿宋_GB2312" w:eastAsia="仿宋_GB2312" w:cs="仿宋_GB2312"/>
          <w:color w:val="000000"/>
          <w:sz w:val="32"/>
          <w:szCs w:val="32"/>
          <w:lang w:val="en-US" w:eastAsia="zh-CN" w:bidi="ar"/>
        </w:rPr>
      </w:pPr>
      <w:r>
        <w:rPr>
          <w:rFonts w:hint="eastAsia" w:ascii="楷体_GB2312" w:hAnsi="楷体_GB2312" w:eastAsia="楷体_GB2312" w:cs="楷体_GB2312"/>
          <w:color w:val="000000"/>
          <w:sz w:val="32"/>
          <w:szCs w:val="32"/>
          <w:lang w:eastAsia="zh-CN" w:bidi="ar"/>
        </w:rPr>
        <w:t>（</w:t>
      </w:r>
      <w:r>
        <w:rPr>
          <w:rFonts w:hint="eastAsia" w:ascii="楷体_GB2312" w:hAnsi="楷体_GB2312" w:eastAsia="楷体_GB2312" w:cs="楷体_GB2312"/>
          <w:color w:val="000000"/>
          <w:sz w:val="32"/>
          <w:szCs w:val="32"/>
          <w:lang w:val="en-US" w:eastAsia="zh-CN" w:bidi="ar"/>
        </w:rPr>
        <w:t>一</w:t>
      </w:r>
      <w:r>
        <w:rPr>
          <w:rFonts w:hint="eastAsia" w:ascii="楷体_GB2312" w:hAnsi="楷体_GB2312" w:eastAsia="楷体_GB2312" w:cs="楷体_GB2312"/>
          <w:color w:val="000000"/>
          <w:sz w:val="32"/>
          <w:szCs w:val="32"/>
          <w:lang w:eastAsia="zh-CN" w:bidi="ar"/>
        </w:rPr>
        <w:t>）</w:t>
      </w:r>
      <w:r>
        <w:rPr>
          <w:rFonts w:hint="eastAsia" w:ascii="楷体_GB2312" w:hAnsi="楷体_GB2312" w:eastAsia="楷体_GB2312" w:cs="楷体_GB2312"/>
          <w:color w:val="000000"/>
          <w:sz w:val="32"/>
          <w:szCs w:val="32"/>
          <w:lang w:bidi="ar"/>
        </w:rPr>
        <w:t>目标任务</w:t>
      </w:r>
      <w:r>
        <w:rPr>
          <w:rFonts w:hint="eastAsia" w:ascii="仿宋_GB2312" w:hAnsi="仿宋_GB2312" w:eastAsia="仿宋_GB2312" w:cs="仿宋_GB2312"/>
          <w:color w:val="000000"/>
          <w:sz w:val="32"/>
          <w:szCs w:val="32"/>
          <w:lang w:bidi="ar"/>
        </w:rPr>
        <w:t>。</w:t>
      </w:r>
      <w:r>
        <w:rPr>
          <w:rFonts w:hint="eastAsia" w:ascii="仿宋_GB2312" w:hAnsi="仿宋_GB2312" w:eastAsia="仿宋_GB2312" w:cs="仿宋_GB2312"/>
          <w:color w:val="000000"/>
          <w:sz w:val="32"/>
          <w:szCs w:val="32"/>
          <w:lang w:val="en-US" w:eastAsia="zh-CN" w:bidi="ar"/>
        </w:rPr>
        <w:t>明确</w:t>
      </w:r>
      <w:bookmarkStart w:id="0" w:name="_GoBack"/>
      <w:bookmarkEnd w:id="0"/>
      <w:r>
        <w:rPr>
          <w:rFonts w:hint="eastAsia" w:ascii="仿宋_GB2312" w:hAnsi="仿宋_GB2312" w:eastAsia="仿宋_GB2312" w:cs="仿宋_GB2312"/>
          <w:color w:val="000000"/>
          <w:sz w:val="32"/>
          <w:szCs w:val="32"/>
          <w:lang w:val="en-US" w:eastAsia="zh-CN" w:bidi="ar"/>
        </w:rPr>
        <w:t xml:space="preserve">用3年左右时间建立与我省经济社会发展水平相适宜的长期护理保险制度。2026年开始，先从单位职工、退休人员、灵活就业人员等人群起步。2027年，将城乡居民纳入保障范围。2028年，持续扩大制度覆盖面。    </w:t>
      </w:r>
    </w:p>
    <w:p w14:paraId="1F6328E9">
      <w:pPr>
        <w:keepNext w:val="0"/>
        <w:keepLines w:val="0"/>
        <w:pageBreakBefore w:val="0"/>
        <w:widowControl w:val="0"/>
        <w:numPr>
          <w:numId w:val="0"/>
        </w:numPr>
        <w:kinsoku/>
        <w:wordWrap/>
        <w:overflowPunct/>
        <w:topLinePunct w:val="0"/>
        <w:autoSpaceDE w:val="0"/>
        <w:autoSpaceDN/>
        <w:bidi w:val="0"/>
        <w:adjustRightInd/>
        <w:spacing w:line="600" w:lineRule="exact"/>
        <w:ind w:firstLine="640" w:firstLineChars="200"/>
        <w:textAlignment w:val="auto"/>
        <w:rPr>
          <w:rFonts w:hint="eastAsia" w:ascii="仿宋_GB2312" w:hAnsi="仿宋_GB2312" w:eastAsia="仿宋_GB2312" w:cs="仿宋_GB2312"/>
          <w:color w:val="000000"/>
          <w:sz w:val="32"/>
          <w:szCs w:val="32"/>
          <w:lang w:bidi="ar"/>
        </w:rPr>
      </w:pPr>
      <w:r>
        <w:rPr>
          <w:rFonts w:hint="eastAsia" w:ascii="楷体_GB2312" w:hAnsi="楷体_GB2312" w:eastAsia="楷体_GB2312" w:cs="楷体_GB2312"/>
          <w:color w:val="000000"/>
          <w:sz w:val="32"/>
          <w:szCs w:val="32"/>
          <w:lang w:bidi="ar"/>
        </w:rPr>
        <w:t>（二）筹资机制</w:t>
      </w:r>
      <w:r>
        <w:rPr>
          <w:rFonts w:hint="eastAsia" w:ascii="仿宋_GB2312" w:hAnsi="仿宋_GB2312" w:eastAsia="仿宋_GB2312" w:cs="仿宋_GB2312"/>
          <w:color w:val="000000"/>
          <w:sz w:val="32"/>
          <w:szCs w:val="32"/>
          <w:lang w:bidi="ar"/>
        </w:rPr>
        <w:t>。明确在参加基本医疗保险时，同步参加长期护理保险。单位职工由用人单位和个人各承担一半；退休人员由个人缴费，单位不缴费；灵活就业人员</w:t>
      </w:r>
      <w:r>
        <w:rPr>
          <w:rFonts w:hint="eastAsia" w:ascii="仿宋_GB2312" w:hAnsi="仿宋_GB2312" w:eastAsia="仿宋_GB2312" w:cs="仿宋_GB2312"/>
          <w:color w:val="000000"/>
          <w:sz w:val="32"/>
          <w:szCs w:val="32"/>
          <w:lang w:val="en-US" w:eastAsia="zh-CN" w:bidi="ar"/>
        </w:rPr>
        <w:t>可选择按职工或居民参保，按职工参保的缴费基数不低于统筹地区公布的社会平均工资的60%</w:t>
      </w:r>
      <w:r>
        <w:rPr>
          <w:rFonts w:hint="eastAsia" w:ascii="仿宋_GB2312" w:hAnsi="仿宋_GB2312" w:eastAsia="仿宋_GB2312" w:cs="仿宋_GB2312"/>
          <w:color w:val="000000"/>
          <w:sz w:val="32"/>
          <w:szCs w:val="32"/>
          <w:lang w:bidi="ar"/>
        </w:rPr>
        <w:t>；未就业城乡居民由财政和个人各承担一半；</w:t>
      </w:r>
      <w:r>
        <w:rPr>
          <w:rFonts w:hint="eastAsia" w:ascii="仿宋_GB2312" w:hAnsi="仿宋_GB2312" w:eastAsia="仿宋_GB2312" w:cs="仿宋_GB2312"/>
          <w:snapToGrid/>
          <w:color w:val="auto"/>
          <w:kern w:val="2"/>
          <w:sz w:val="32"/>
          <w:szCs w:val="32"/>
          <w:u w:val="none"/>
          <w:lang w:val="en-US" w:eastAsia="zh-CN" w:bidi="ar"/>
        </w:rPr>
        <w:t>分类资助符合条件的困难群众个人缴费部分；</w:t>
      </w:r>
      <w:r>
        <w:rPr>
          <w:rFonts w:hint="eastAsia" w:ascii="仿宋_GB2312" w:hAnsi="仿宋_GB2312" w:eastAsia="仿宋_GB2312" w:cs="仿宋_GB2312"/>
          <w:color w:val="000000"/>
          <w:sz w:val="32"/>
          <w:szCs w:val="32"/>
          <w:lang w:bidi="ar"/>
        </w:rPr>
        <w:t>18周岁以下人员跟随父母或其他法定抚养人等参保，不单独筹资，孤儿、事实无人抚养儿童可视同参保。同时明确，个人缴费可从职工基本医疗保险个人账户中代扣代缴；退休人员也可由发放基本养老金的社会保险经办机构代扣代缴。职工医保个人账户可以用于本人及近亲属参加长期护理保险的个人缴费。</w:t>
      </w:r>
    </w:p>
    <w:p w14:paraId="3A25399A">
      <w:pPr>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eastAsia" w:ascii="仿宋_GB2312" w:hAnsi="仿宋_GB2312" w:eastAsia="仿宋_GB2312" w:cs="仿宋_GB2312"/>
          <w:color w:val="000000"/>
          <w:sz w:val="32"/>
          <w:szCs w:val="32"/>
          <w:lang w:bidi="ar"/>
        </w:rPr>
      </w:pPr>
      <w:r>
        <w:rPr>
          <w:rFonts w:hint="eastAsia" w:ascii="楷体_GB2312" w:hAnsi="楷体_GB2312" w:eastAsia="楷体_GB2312" w:cs="楷体_GB2312"/>
          <w:color w:val="000000"/>
          <w:sz w:val="32"/>
          <w:szCs w:val="32"/>
          <w:lang w:bidi="ar"/>
        </w:rPr>
        <w:t>（</w:t>
      </w:r>
      <w:r>
        <w:rPr>
          <w:rFonts w:hint="eastAsia" w:ascii="楷体_GB2312" w:hAnsi="楷体_GB2312" w:eastAsia="楷体_GB2312" w:cs="楷体_GB2312"/>
          <w:color w:val="000000"/>
          <w:sz w:val="32"/>
          <w:szCs w:val="32"/>
          <w:lang w:val="en-US" w:eastAsia="zh-CN" w:bidi="ar"/>
        </w:rPr>
        <w:t>三</w:t>
      </w:r>
      <w:r>
        <w:rPr>
          <w:rFonts w:hint="eastAsia" w:ascii="楷体_GB2312" w:hAnsi="楷体_GB2312" w:eastAsia="楷体_GB2312" w:cs="楷体_GB2312"/>
          <w:color w:val="000000"/>
          <w:sz w:val="32"/>
          <w:szCs w:val="32"/>
          <w:lang w:bidi="ar"/>
        </w:rPr>
        <w:t>）待遇</w:t>
      </w:r>
      <w:r>
        <w:rPr>
          <w:rFonts w:hint="eastAsia" w:ascii="楷体_GB2312" w:hAnsi="楷体_GB2312" w:eastAsia="楷体_GB2312" w:cs="楷体_GB2312"/>
          <w:color w:val="000000"/>
          <w:sz w:val="32"/>
          <w:szCs w:val="32"/>
          <w:lang w:val="en-US" w:eastAsia="zh-CN" w:bidi="ar"/>
        </w:rPr>
        <w:t>保障</w:t>
      </w:r>
      <w:r>
        <w:rPr>
          <w:rFonts w:hint="eastAsia" w:ascii="仿宋_GB2312" w:hAnsi="仿宋_GB2312" w:eastAsia="仿宋_GB2312" w:cs="仿宋_GB2312"/>
          <w:color w:val="000000"/>
          <w:sz w:val="32"/>
          <w:szCs w:val="32"/>
          <w:lang w:bidi="ar"/>
        </w:rPr>
        <w:t>。基金年度最高支付限额不超过</w:t>
      </w:r>
      <w:r>
        <w:rPr>
          <w:rFonts w:hint="eastAsia" w:ascii="仿宋_GB2312" w:hAnsi="仿宋_GB2312" w:eastAsia="仿宋_GB2312" w:cs="仿宋_GB2312"/>
          <w:color w:val="000000"/>
          <w:sz w:val="32"/>
          <w:szCs w:val="32"/>
          <w:lang w:val="en-US" w:eastAsia="zh-CN" w:bidi="ar"/>
        </w:rPr>
        <w:t>统筹地区</w:t>
      </w:r>
      <w:r>
        <w:rPr>
          <w:rFonts w:hint="eastAsia" w:ascii="仿宋_GB2312" w:hAnsi="仿宋_GB2312" w:eastAsia="仿宋_GB2312" w:cs="仿宋_GB2312"/>
          <w:color w:val="000000"/>
          <w:sz w:val="32"/>
          <w:szCs w:val="32"/>
          <w:lang w:bidi="ar"/>
        </w:rPr>
        <w:t>上年度城乡居民人均可支配收入的</w:t>
      </w:r>
      <w:r>
        <w:rPr>
          <w:rFonts w:hint="default" w:ascii="仿宋_GB2312" w:hAnsi="仿宋_GB2312" w:eastAsia="仿宋_GB2312" w:cs="仿宋_GB2312"/>
          <w:color w:val="000000"/>
          <w:sz w:val="32"/>
          <w:szCs w:val="32"/>
          <w:lang w:bidi="ar"/>
        </w:rPr>
        <w:t>50%</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按单位职工参保的，支付比例为</w:t>
      </w:r>
      <w:r>
        <w:rPr>
          <w:rFonts w:hint="default" w:ascii="仿宋_GB2312" w:hAnsi="仿宋_GB2312" w:eastAsia="仿宋_GB2312" w:cs="仿宋_GB2312"/>
          <w:color w:val="000000"/>
          <w:sz w:val="32"/>
          <w:szCs w:val="32"/>
          <w:lang w:bidi="ar"/>
        </w:rPr>
        <w:t>70%</w:t>
      </w:r>
      <w:r>
        <w:rPr>
          <w:rFonts w:hint="eastAsia" w:ascii="仿宋_GB2312" w:hAnsi="仿宋_GB2312" w:eastAsia="仿宋_GB2312" w:cs="仿宋_GB2312"/>
          <w:color w:val="000000"/>
          <w:sz w:val="32"/>
          <w:szCs w:val="32"/>
          <w:lang w:bidi="ar"/>
        </w:rPr>
        <w:t>左右</w:t>
      </w:r>
      <w:r>
        <w:rPr>
          <w:rFonts w:hint="eastAsia" w:ascii="仿宋_GB2312" w:hAnsi="仿宋_GB2312" w:eastAsia="仿宋_GB2312" w:cs="仿宋_GB2312"/>
          <w:color w:val="000000"/>
          <w:sz w:val="32"/>
          <w:szCs w:val="32"/>
          <w:lang w:val="en-US" w:eastAsia="zh-CN" w:bidi="ar"/>
        </w:rPr>
        <w:t>；</w:t>
      </w:r>
      <w:r>
        <w:rPr>
          <w:rFonts w:hint="eastAsia" w:ascii="仿宋_GB2312" w:hAnsi="仿宋_GB2312" w:eastAsia="仿宋_GB2312" w:cs="仿宋_GB2312"/>
          <w:color w:val="000000"/>
          <w:sz w:val="32"/>
          <w:szCs w:val="32"/>
          <w:lang w:bidi="ar"/>
        </w:rPr>
        <w:t>按未就业城乡居民参保的，支付比例为</w:t>
      </w:r>
      <w:r>
        <w:rPr>
          <w:rFonts w:hint="default" w:ascii="仿宋_GB2312" w:hAnsi="仿宋_GB2312" w:eastAsia="仿宋_GB2312" w:cs="仿宋_GB2312"/>
          <w:color w:val="000000"/>
          <w:sz w:val="32"/>
          <w:szCs w:val="32"/>
          <w:lang w:bidi="ar"/>
        </w:rPr>
        <w:t>50%</w:t>
      </w:r>
      <w:r>
        <w:rPr>
          <w:rFonts w:hint="eastAsia" w:ascii="仿宋_GB2312" w:hAnsi="仿宋_GB2312" w:eastAsia="仿宋_GB2312" w:cs="仿宋_GB2312"/>
          <w:color w:val="000000"/>
          <w:sz w:val="32"/>
          <w:szCs w:val="32"/>
          <w:lang w:bidi="ar"/>
        </w:rPr>
        <w:t>左右；鼓励向居家和社区护理服务适当倾斜。原则上不直接发放现金。</w:t>
      </w:r>
    </w:p>
    <w:p w14:paraId="39B0B039">
      <w:pPr>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default" w:ascii="仿宋_GB2312" w:hAnsi="仿宋_GB2312" w:eastAsia="仿宋_GB2312" w:cs="仿宋_GB2312"/>
          <w:color w:val="000000"/>
          <w:sz w:val="32"/>
          <w:szCs w:val="32"/>
          <w:lang w:val="en-US" w:eastAsia="zh-CN" w:bidi="ar"/>
        </w:rPr>
      </w:pPr>
      <w:r>
        <w:rPr>
          <w:rFonts w:hint="eastAsia" w:ascii="楷体_GB2312" w:hAnsi="楷体_GB2312" w:eastAsia="楷体_GB2312" w:cs="楷体_GB2312"/>
          <w:color w:val="000000"/>
          <w:sz w:val="32"/>
          <w:szCs w:val="32"/>
          <w:lang w:bidi="ar"/>
        </w:rPr>
        <w:t>（</w:t>
      </w:r>
      <w:r>
        <w:rPr>
          <w:rFonts w:hint="eastAsia" w:ascii="楷体_GB2312" w:hAnsi="楷体_GB2312" w:eastAsia="楷体_GB2312" w:cs="楷体_GB2312"/>
          <w:color w:val="000000"/>
          <w:sz w:val="32"/>
          <w:szCs w:val="32"/>
          <w:lang w:val="en-US" w:eastAsia="zh-CN" w:bidi="ar"/>
        </w:rPr>
        <w:t>四</w:t>
      </w:r>
      <w:r>
        <w:rPr>
          <w:rFonts w:hint="eastAsia" w:ascii="楷体_GB2312" w:hAnsi="楷体_GB2312" w:eastAsia="楷体_GB2312" w:cs="楷体_GB2312"/>
          <w:color w:val="000000"/>
          <w:sz w:val="32"/>
          <w:szCs w:val="32"/>
          <w:lang w:bidi="ar"/>
        </w:rPr>
        <w:t>）</w:t>
      </w:r>
      <w:r>
        <w:rPr>
          <w:rFonts w:hint="eastAsia" w:ascii="楷体_GB2312" w:hAnsi="楷体_GB2312" w:eastAsia="楷体_GB2312" w:cs="楷体_GB2312"/>
          <w:color w:val="000000"/>
          <w:sz w:val="32"/>
          <w:szCs w:val="32"/>
          <w:lang w:val="en-US" w:eastAsia="zh-CN" w:bidi="ar"/>
        </w:rPr>
        <w:t>失能评估</w:t>
      </w:r>
      <w:r>
        <w:rPr>
          <w:rFonts w:hint="eastAsia" w:ascii="仿宋_GB2312" w:hAnsi="仿宋_GB2312" w:eastAsia="仿宋_GB2312" w:cs="仿宋_GB2312"/>
          <w:color w:val="000000"/>
          <w:sz w:val="32"/>
          <w:szCs w:val="32"/>
          <w:lang w:val="en-US" w:eastAsia="zh-CN" w:bidi="ar"/>
        </w:rPr>
        <w:t>。失能等级评估机构实行定点协议管理。各统筹区严格执行国家统一的长期护理保险失能等级评估标准和操作指南，评估结果全省互认，适时推进全国范围内互认。明确评估服务费由基金和个人合理分担。</w:t>
      </w:r>
      <w:r>
        <w:rPr>
          <w:rFonts w:hint="eastAsia" w:ascii="仿宋_GB2312" w:hAnsi="仿宋_GB2312" w:eastAsia="仿宋_GB2312" w:cs="仿宋_GB2312"/>
          <w:snapToGrid/>
          <w:color w:val="auto"/>
          <w:kern w:val="2"/>
          <w:sz w:val="32"/>
          <w:szCs w:val="32"/>
          <w:u w:val="none"/>
          <w:lang w:val="en-US" w:eastAsia="zh-CN" w:bidi="ar"/>
        </w:rPr>
        <w:t>鼓励支持社会力量发展独立的专业评估机构。</w:t>
      </w:r>
    </w:p>
    <w:p w14:paraId="0B18BF32">
      <w:pPr>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default" w:ascii="仿宋_GB2312" w:hAnsi="仿宋_GB2312" w:eastAsia="仿宋_GB2312" w:cs="仿宋_GB2312"/>
          <w:snapToGrid/>
          <w:color w:val="auto"/>
          <w:kern w:val="2"/>
          <w:sz w:val="32"/>
          <w:szCs w:val="32"/>
          <w:u w:val="none"/>
          <w:lang w:val="en-US" w:eastAsia="zh-CN" w:bidi="ar"/>
        </w:rPr>
      </w:pPr>
      <w:r>
        <w:rPr>
          <w:rFonts w:hint="eastAsia" w:ascii="楷体_GB2312" w:hAnsi="楷体_GB2312" w:eastAsia="楷体_GB2312" w:cs="楷体_GB2312"/>
          <w:color w:val="000000"/>
          <w:sz w:val="32"/>
          <w:szCs w:val="32"/>
          <w:lang w:val="en-US" w:eastAsia="zh-CN" w:bidi="ar"/>
        </w:rPr>
        <w:t>（五）护理服务</w:t>
      </w:r>
      <w:r>
        <w:rPr>
          <w:rFonts w:hint="eastAsia" w:ascii="仿宋_GB2312" w:hAnsi="仿宋_GB2312" w:eastAsia="仿宋_GB2312" w:cs="仿宋_GB2312"/>
          <w:color w:val="000000"/>
          <w:sz w:val="32"/>
          <w:szCs w:val="32"/>
          <w:lang w:bidi="ar"/>
        </w:rPr>
        <w:t>。</w:t>
      </w:r>
      <w:r>
        <w:rPr>
          <w:rFonts w:hint="eastAsia" w:ascii="仿宋_GB2312" w:hAnsi="仿宋_GB2312" w:eastAsia="仿宋_GB2312" w:cs="仿宋_GB2312"/>
          <w:color w:val="000000"/>
          <w:sz w:val="32"/>
          <w:szCs w:val="32"/>
          <w:lang w:val="en-US" w:eastAsia="zh-CN" w:bidi="ar"/>
        </w:rPr>
        <w:t>明确</w:t>
      </w:r>
      <w:r>
        <w:rPr>
          <w:rFonts w:hint="eastAsia" w:ascii="仿宋_GB2312" w:hAnsi="仿宋_GB2312" w:eastAsia="仿宋_GB2312" w:cs="仿宋_GB2312"/>
          <w:snapToGrid/>
          <w:color w:val="auto"/>
          <w:kern w:val="2"/>
          <w:sz w:val="32"/>
          <w:szCs w:val="32"/>
          <w:u w:val="none"/>
          <w:lang w:val="en-US" w:eastAsia="zh-CN" w:bidi="ar"/>
        </w:rPr>
        <w:t>长期护理服务机构实行定点协议管理。</w:t>
      </w:r>
      <w:r>
        <w:rPr>
          <w:rFonts w:hint="eastAsia" w:ascii="Times New Roman" w:hAnsi="Times New Roman" w:eastAsia="仿宋_GB2312" w:cs="仿宋_GB2312"/>
          <w:snapToGrid/>
          <w:color w:val="auto"/>
          <w:kern w:val="2"/>
          <w:sz w:val="32"/>
          <w:szCs w:val="32"/>
          <w:u w:val="none"/>
          <w:lang w:val="en-US" w:eastAsia="zh-CN" w:bidi="ar"/>
        </w:rPr>
        <w:t>支持基层医疗卫生机构、养老服务机构等提供长期护理服务。</w:t>
      </w:r>
      <w:r>
        <w:rPr>
          <w:rFonts w:hint="eastAsia" w:ascii="仿宋_GB2312" w:hAnsi="仿宋_GB2312" w:eastAsia="仿宋_GB2312" w:cs="仿宋_GB2312"/>
          <w:snapToGrid/>
          <w:color w:val="auto"/>
          <w:kern w:val="2"/>
          <w:sz w:val="32"/>
          <w:szCs w:val="32"/>
          <w:u w:val="none"/>
          <w:lang w:val="en-US" w:eastAsia="zh-CN" w:bidi="ar"/>
        </w:rPr>
        <w:t>鼓励具备条件的社会力量参与长期照护师和评估人员的培训。建立符合长期护理保险特点的支付机制及协商谈判机制，针对不同服务模式，完善支付方式。</w:t>
      </w:r>
    </w:p>
    <w:p w14:paraId="7E6AAAE6">
      <w:pPr>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eastAsia" w:ascii="仿宋_GB2312" w:hAnsi="仿宋_GB2312" w:eastAsia="仿宋_GB2312" w:cs="仿宋_GB2312"/>
          <w:snapToGrid/>
          <w:color w:val="auto"/>
          <w:kern w:val="2"/>
          <w:sz w:val="32"/>
          <w:szCs w:val="32"/>
          <w:u w:val="none"/>
          <w:lang w:val="en-US" w:eastAsia="zh-CN" w:bidi="ar"/>
        </w:rPr>
      </w:pPr>
      <w:r>
        <w:rPr>
          <w:rFonts w:hint="eastAsia" w:ascii="楷体_GB2312" w:hAnsi="楷体_GB2312" w:eastAsia="楷体_GB2312" w:cs="楷体_GB2312"/>
          <w:color w:val="000000"/>
          <w:sz w:val="32"/>
          <w:szCs w:val="32"/>
          <w:lang w:val="en-US" w:eastAsia="zh-CN" w:bidi="ar"/>
        </w:rPr>
        <w:t>（六）基金监管</w:t>
      </w:r>
      <w:r>
        <w:rPr>
          <w:rFonts w:hint="eastAsia" w:ascii="仿宋_GB2312" w:hAnsi="仿宋_GB2312" w:eastAsia="仿宋_GB2312" w:cs="仿宋_GB2312"/>
          <w:color w:val="000000"/>
          <w:sz w:val="32"/>
          <w:szCs w:val="32"/>
          <w:lang w:val="en-US" w:eastAsia="zh-CN" w:bidi="ar"/>
        </w:rPr>
        <w:t>。</w:t>
      </w:r>
      <w:r>
        <w:rPr>
          <w:rFonts w:hint="eastAsia" w:ascii="仿宋_GB2312" w:hAnsi="仿宋_GB2312" w:eastAsia="仿宋_GB2312" w:cs="仿宋_GB2312"/>
          <w:snapToGrid/>
          <w:color w:val="auto"/>
          <w:kern w:val="2"/>
          <w:sz w:val="32"/>
          <w:szCs w:val="32"/>
          <w:u w:val="none"/>
          <w:lang w:val="en-US" w:eastAsia="zh-CN" w:bidi="ar"/>
        </w:rPr>
        <w:t>长期护理保险基金纳入社会保障基金财政专户，单独建账、单独核算、专款专用，严格执行基金财务管理制度。将长期护理保险基金使用纳入日常监管、飞行检查、智能监管、社会监督等范围。</w:t>
      </w:r>
    </w:p>
    <w:p w14:paraId="7A99BD97">
      <w:pPr>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default" w:ascii="仿宋_GB2312" w:hAnsi="仿宋_GB2312" w:eastAsia="仿宋_GB2312" w:cs="仿宋_GB2312"/>
          <w:color w:val="000000"/>
          <w:sz w:val="32"/>
          <w:szCs w:val="32"/>
          <w:lang w:val="en-US" w:eastAsia="zh-CN" w:bidi="ar"/>
        </w:rPr>
      </w:pPr>
      <w:r>
        <w:rPr>
          <w:rFonts w:hint="eastAsia" w:ascii="楷体_GB2312" w:hAnsi="楷体_GB2312" w:eastAsia="楷体_GB2312" w:cs="楷体_GB2312"/>
          <w:color w:val="000000"/>
          <w:sz w:val="32"/>
          <w:szCs w:val="32"/>
          <w:lang w:val="en-US" w:eastAsia="zh-CN" w:bidi="ar"/>
        </w:rPr>
        <w:t>（七）经办服务</w:t>
      </w:r>
      <w:r>
        <w:rPr>
          <w:rFonts w:hint="eastAsia" w:ascii="仿宋_GB2312" w:hAnsi="仿宋_GB2312" w:eastAsia="仿宋_GB2312" w:cs="仿宋_GB2312"/>
          <w:color w:val="000000"/>
          <w:sz w:val="32"/>
          <w:szCs w:val="32"/>
          <w:lang w:val="en-US" w:eastAsia="zh-CN" w:bidi="ar"/>
        </w:rPr>
        <w:t>。明</w:t>
      </w:r>
      <w:r>
        <w:rPr>
          <w:rFonts w:hint="eastAsia" w:ascii="仿宋_GB2312" w:hAnsi="仿宋_GB2312" w:eastAsia="仿宋_GB2312" w:cs="仿宋_GB2312"/>
          <w:snapToGrid/>
          <w:color w:val="auto"/>
          <w:kern w:val="2"/>
          <w:sz w:val="32"/>
          <w:szCs w:val="32"/>
          <w:u w:val="none"/>
          <w:lang w:val="en-US" w:eastAsia="zh-CN" w:bidi="ar"/>
        </w:rPr>
        <w:t>确有条件的统筹地区应通过公开招</w:t>
      </w:r>
      <w:r>
        <w:rPr>
          <w:rFonts w:hint="eastAsia" w:ascii="Times New Roman" w:hAnsi="Times New Roman" w:eastAsia="仿宋_GB2312" w:cs="仿宋_GB2312"/>
          <w:snapToGrid/>
          <w:color w:val="auto"/>
          <w:kern w:val="2"/>
          <w:sz w:val="32"/>
          <w:szCs w:val="32"/>
          <w:u w:val="none"/>
          <w:lang w:val="en-US" w:eastAsia="zh-CN" w:bidi="ar"/>
        </w:rPr>
        <w:t>标等竞争性方式，有序规范引入社会力量参</w:t>
      </w:r>
      <w:r>
        <w:rPr>
          <w:rFonts w:hint="eastAsia" w:ascii="仿宋_GB2312" w:hAnsi="仿宋_GB2312" w:eastAsia="仿宋_GB2312" w:cs="仿宋_GB2312"/>
          <w:snapToGrid/>
          <w:color w:val="auto"/>
          <w:kern w:val="2"/>
          <w:sz w:val="32"/>
          <w:szCs w:val="32"/>
          <w:u w:val="none"/>
          <w:lang w:val="en-US" w:eastAsia="zh-CN" w:bidi="ar"/>
        </w:rPr>
        <w:t>与经办管理服务。稳妥做好长期护理保险关系转移接续，</w:t>
      </w:r>
      <w:r>
        <w:rPr>
          <w:rFonts w:hint="eastAsia" w:ascii="Times New Roman" w:hAnsi="Times New Roman" w:eastAsia="仿宋_GB2312" w:cs="仿宋_GB2312"/>
          <w:snapToGrid/>
          <w:color w:val="auto"/>
          <w:kern w:val="2"/>
          <w:sz w:val="32"/>
          <w:szCs w:val="32"/>
          <w:u w:val="none"/>
          <w:lang w:val="en-US" w:eastAsia="zh-CN" w:bidi="ar"/>
        </w:rPr>
        <w:t>以及跨统筹地区参保信息、</w:t>
      </w:r>
      <w:r>
        <w:rPr>
          <w:rFonts w:hint="eastAsia" w:ascii="仿宋_GB2312" w:hAnsi="仿宋_GB2312" w:eastAsia="仿宋_GB2312" w:cs="仿宋_GB2312"/>
          <w:snapToGrid/>
          <w:color w:val="auto"/>
          <w:kern w:val="2"/>
          <w:sz w:val="32"/>
          <w:szCs w:val="32"/>
          <w:u w:val="none"/>
          <w:lang w:val="en-US" w:eastAsia="zh-CN" w:bidi="ar"/>
        </w:rPr>
        <w:t>缴费年限互认。</w:t>
      </w:r>
    </w:p>
    <w:p w14:paraId="75C8E9C8">
      <w:pPr>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default" w:ascii="仿宋_GB2312" w:hAnsi="仿宋_GB2312" w:eastAsia="仿宋_GB2312" w:cs="仿宋_GB2312"/>
          <w:color w:val="000000"/>
          <w:sz w:val="32"/>
          <w:szCs w:val="32"/>
          <w:lang w:bidi="ar"/>
        </w:rPr>
      </w:pPr>
      <w:r>
        <w:rPr>
          <w:rFonts w:hint="eastAsia" w:ascii="楷体_GB2312" w:hAnsi="楷体_GB2312" w:eastAsia="楷体_GB2312" w:cs="楷体_GB2312"/>
          <w:color w:val="000000"/>
          <w:sz w:val="32"/>
          <w:szCs w:val="32"/>
          <w:lang w:val="en-US" w:eastAsia="zh-CN" w:bidi="ar"/>
        </w:rPr>
        <w:t>（八）组织实施</w:t>
      </w:r>
      <w:r>
        <w:rPr>
          <w:rFonts w:hint="eastAsia" w:ascii="仿宋_GB2312" w:hAnsi="仿宋_GB2312" w:eastAsia="仿宋_GB2312" w:cs="仿宋_GB2312"/>
          <w:color w:val="000000"/>
          <w:sz w:val="32"/>
          <w:szCs w:val="32"/>
          <w:lang w:bidi="ar"/>
        </w:rPr>
        <w:t>。明确了地方政府的属地主体责任，细化了省级相关部门的管理职责。</w:t>
      </w:r>
    </w:p>
    <w:p w14:paraId="37BDA6ED">
      <w:pPr>
        <w:autoSpaceDE w:val="0"/>
        <w:spacing w:line="579" w:lineRule="exact"/>
        <w:ind w:firstLine="640" w:firstLineChars="200"/>
        <w:rPr>
          <w:rFonts w:hint="eastAsia" w:ascii="仿宋_GB2312" w:hAnsi="仿宋_GB2312" w:eastAsia="仿宋_GB2312" w:cs="仿宋_GB2312"/>
          <w:color w:val="000000"/>
          <w:sz w:val="32"/>
          <w:szCs w:val="32"/>
          <w:lang w:bidi="ar"/>
        </w:rPr>
      </w:pPr>
    </w:p>
    <w:p w14:paraId="01B9A2F3">
      <w:pPr>
        <w:widowControl/>
        <w:autoSpaceDE w:val="0"/>
        <w:autoSpaceDN w:val="0"/>
        <w:adjustRightInd w:val="0"/>
        <w:jc w:val="left"/>
        <w:rPr>
          <w:rFonts w:hint="eastAsia" w:ascii="微软雅黑" w:hAnsi="微软雅黑" w:eastAsia="微软雅黑" w:cs="Times"/>
          <w:kern w:val="0"/>
          <w:szCs w:val="21"/>
        </w:rPr>
      </w:pPr>
    </w:p>
    <w:p w14:paraId="27637040">
      <w:pPr>
        <w:rPr>
          <w:rFonts w:hint="eastAsi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82016" w:usb3="00000000" w:csb0="00040001" w:csb1="00000000"/>
  </w:font>
  <w:font w:name="方正黑体_GBK">
    <w:altName w:val="微软雅黑"/>
    <w:panose1 w:val="03000509000000000000"/>
    <w:charset w:val="86"/>
    <w:family w:val="script"/>
    <w:pitch w:val="default"/>
    <w:sig w:usb0="00000000" w:usb1="00000000" w:usb2="00082016" w:usb3="00000000" w:csb0="00040001" w:csb1="00000000"/>
  </w:font>
  <w:font w:name="方正楷体_GBK">
    <w:altName w:val="微软雅黑"/>
    <w:panose1 w:val="03000509000000000000"/>
    <w:charset w:val="86"/>
    <w:family w:val="script"/>
    <w:pitch w:val="default"/>
    <w:sig w:usb0="00000000" w:usb1="00000000" w:usb2="00082016" w:usb3="00000000" w:csb0="00040001" w:csb1="00000000"/>
  </w:font>
  <w:font w:name="Times">
    <w:altName w:val="Times New Roman"/>
    <w:panose1 w:val="02020603050405020304"/>
    <w:charset w:val="00"/>
    <w:family w:val="roman"/>
    <w:pitch w:val="default"/>
    <w:sig w:usb0="00000000" w:usb1="00000000" w:usb2="00000000" w:usb3="00000000" w:csb0="000001FF" w:csb1="00000000"/>
  </w:font>
  <w:font w:name="KSOFD8A28030">
    <w:panose1 w:val="020B0503020204020204"/>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AAEC1">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A624D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3A624DB">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F1"/>
    <w:rsid w:val="00381D89"/>
    <w:rsid w:val="004A44F1"/>
    <w:rsid w:val="004B5EF3"/>
    <w:rsid w:val="006226EB"/>
    <w:rsid w:val="009175EF"/>
    <w:rsid w:val="2DE52A93"/>
    <w:rsid w:val="51334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7">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8">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szCs w:val="22"/>
    </w:rPr>
  </w:style>
  <w:style w:type="paragraph" w:styleId="9">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10">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1">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afterLines="0" w:line="480" w:lineRule="auto"/>
      <w:ind w:left="420" w:leftChars="200"/>
    </w:pPr>
  </w:style>
  <w:style w:type="paragraph" w:styleId="12">
    <w:name w:val="footer"/>
    <w:basedOn w:val="1"/>
    <w:semiHidden/>
    <w:unhideWhenUsed/>
    <w:uiPriority w:val="99"/>
    <w:pPr>
      <w:tabs>
        <w:tab w:val="center" w:pos="4153"/>
        <w:tab w:val="right" w:pos="8306"/>
      </w:tabs>
      <w:snapToGrid w:val="0"/>
      <w:jc w:val="left"/>
    </w:pPr>
    <w:rPr>
      <w:sz w:val="18"/>
    </w:rPr>
  </w:style>
  <w:style w:type="paragraph" w:styleId="1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pPr>
      <w:keepNext w:val="0"/>
      <w:keepLines w:val="0"/>
      <w:widowControl w:val="0"/>
      <w:suppressLineNumbers w:val="0"/>
      <w:adjustRightInd w:val="0"/>
      <w:snapToGrid w:val="0"/>
      <w:spacing w:before="0" w:beforeAutospacing="0" w:after="0" w:afterAutospacing="0" w:line="560" w:lineRule="exact"/>
      <w:ind w:left="0" w:right="0" w:firstLine="200" w:firstLineChars="200"/>
      <w:jc w:val="both"/>
    </w:pPr>
    <w:rPr>
      <w:rFonts w:hint="default" w:ascii="Times New Roman" w:hAnsi="Times New Roman" w:eastAsia="仿宋_GB2312" w:cs="Times New Roman"/>
      <w:snapToGrid/>
      <w:kern w:val="2"/>
      <w:sz w:val="32"/>
      <w:szCs w:val="24"/>
      <w:lang w:val="en-US" w:eastAsia="zh-CN" w:bidi="ar"/>
    </w:rPr>
  </w:style>
  <w:style w:type="paragraph" w:styleId="15">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3"/>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6"/>
    <w:semiHidden/>
    <w:qFormat/>
    <w:uiPriority w:val="9"/>
    <w:rPr>
      <w:rFonts w:cstheme="majorBidi"/>
      <w:color w:val="2F5597" w:themeColor="accent1" w:themeShade="BF"/>
      <w:sz w:val="28"/>
      <w:szCs w:val="28"/>
    </w:rPr>
  </w:style>
  <w:style w:type="character" w:customStyle="1" w:styleId="23">
    <w:name w:val="标题 5 字符"/>
    <w:basedOn w:val="18"/>
    <w:link w:val="7"/>
    <w:semiHidden/>
    <w:qFormat/>
    <w:uiPriority w:val="9"/>
    <w:rPr>
      <w:rFonts w:cstheme="majorBidi"/>
      <w:color w:val="2F5597" w:themeColor="accent1" w:themeShade="BF"/>
      <w:sz w:val="24"/>
      <w:szCs w:val="24"/>
    </w:rPr>
  </w:style>
  <w:style w:type="character" w:customStyle="1" w:styleId="24">
    <w:name w:val="标题 6 字符"/>
    <w:basedOn w:val="18"/>
    <w:link w:val="8"/>
    <w:semiHidden/>
    <w:qFormat/>
    <w:uiPriority w:val="9"/>
    <w:rPr>
      <w:rFonts w:cstheme="majorBidi"/>
      <w:b/>
      <w:bCs/>
      <w:color w:val="2F5597" w:themeColor="accent1" w:themeShade="BF"/>
    </w:rPr>
  </w:style>
  <w:style w:type="character" w:customStyle="1" w:styleId="25">
    <w:name w:val="标题 7 字符"/>
    <w:basedOn w:val="18"/>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paragraph" w:customStyle="1" w:styleId="37">
    <w:name w:val="p0"/>
    <w:basedOn w:val="1"/>
    <w:qFormat/>
    <w:uiPriority w:val="0"/>
    <w:pPr>
      <w:widowControl/>
    </w:pPr>
    <w:rPr>
      <w:kern w:val="0"/>
      <w:szCs w:val="21"/>
    </w:rPr>
  </w:style>
  <w:style w:type="paragraph" w:customStyle="1" w:styleId="38">
    <w:name w:val="NormalIndent"/>
    <w:basedOn w:val="1"/>
    <w:uiPriority w:val="0"/>
    <w:pPr>
      <w:ind w:firstLine="200" w:firstLineChars="200"/>
      <w:textAlignment w:val="baseline"/>
    </w:pPr>
    <w:rPr>
      <w:rFonts w:hint="eastAsia" w:ascii="宋体" w:hAnsi="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1658</Words>
  <Characters>1720</Characters>
  <Lines>46</Lines>
  <Paragraphs>18</Paragraphs>
  <TotalTime>106</TotalTime>
  <ScaleCrop>false</ScaleCrop>
  <LinksUpToDate>false</LinksUpToDate>
  <CharactersWithSpaces>1728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2025-10-15T10:24:00Z</dcterms:created>
  <dc:creator>瑶 谭</dc:creator>
  <cp:lastModifiedBy>风过留痕</cp:lastModifiedBy>
  <cp:lastPrinted>2026-03-11T04:55:25Z</cp:lastPrinted>
  <dcterms:modified xsi:type="dcterms:W3CDTF">2026-03-11T06:39:22Z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eyJoZGlkIjoiNTAzYWFjZjZjMDEzNDQ1ZTRmNjE4MjlkNmY5YmYyYTQiLCJ1c2VySWQiOiI2MDIzNjQwMzQifQ==</vt:lpwstr>
  </property>
  <property fmtid="{D5CDD505-2E9C-101B-9397-08002B2CF9AE}" pid="3" name="KSOProductBuildVer">
    <vt:lpwstr>2052-12.1.0.25225</vt:lpwstr>
  </property>
  <property fmtid="{D5CDD505-2E9C-101B-9397-08002B2CF9AE}" pid="4" name="ICV">
    <vt:lpwstr>21CE0D75134543499318C3170727A548_12</vt:lpwstr>
  </property>
</Properties>
</file>