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3F2D9" w:themeColor="accent4" w:themeTint="33"/>
  <w:body>
    <w:p>
      <w:pPr>
        <w:keepNext w:val="0"/>
        <w:keepLines w:val="0"/>
        <w:pageBreakBefore w:val="0"/>
        <w:widowControl w:val="0"/>
        <w:kinsoku/>
        <w:wordWrap/>
        <w:overflowPunct/>
        <w:topLinePunct w:val="0"/>
        <w:bidi w:val="0"/>
        <w:snapToGrid/>
        <w:spacing w:line="576" w:lineRule="exact"/>
        <w:jc w:val="center"/>
        <w:textAlignment w:val="auto"/>
        <w:rPr>
          <w:rFonts w:hint="default" w:ascii="方正小标宋简体" w:eastAsia="方正小标宋简体"/>
          <w:color w:val="auto"/>
          <w:sz w:val="44"/>
          <w:szCs w:val="44"/>
          <w:highlight w:val="none"/>
          <w:u w:val="none"/>
          <w:lang w:val="en-US" w:eastAsia="zh-CN"/>
        </w:rPr>
      </w:pPr>
      <w:r>
        <w:rPr>
          <w:rFonts w:hint="eastAsia" w:ascii="方正小标宋简体" w:eastAsia="方正小标宋简体"/>
          <w:color w:val="auto"/>
          <w:sz w:val="44"/>
          <w:szCs w:val="44"/>
          <w:highlight w:val="none"/>
          <w:u w:val="none"/>
          <w:lang w:val="en-US" w:eastAsia="zh-CN"/>
        </w:rPr>
        <w:t xml:space="preserve">              </w:t>
      </w:r>
    </w:p>
    <w:p>
      <w:pPr>
        <w:keepNext w:val="0"/>
        <w:keepLines w:val="0"/>
        <w:pageBreakBefore w:val="0"/>
        <w:widowControl w:val="0"/>
        <w:kinsoku/>
        <w:wordWrap/>
        <w:overflowPunct/>
        <w:topLinePunct w:val="0"/>
        <w:bidi w:val="0"/>
        <w:snapToGrid/>
        <w:spacing w:line="576" w:lineRule="exact"/>
        <w:jc w:val="center"/>
        <w:textAlignment w:val="auto"/>
        <w:rPr>
          <w:rFonts w:hint="eastAsia" w:ascii="方正小标宋简体" w:eastAsia="方正小标宋简体"/>
          <w:color w:val="auto"/>
          <w:sz w:val="44"/>
          <w:szCs w:val="44"/>
          <w:highlight w:val="none"/>
          <w:u w:val="none"/>
          <w:lang w:val="en" w:eastAsia="zh-CN"/>
        </w:rPr>
      </w:pPr>
      <w:r>
        <w:rPr>
          <w:rFonts w:hint="eastAsia" w:ascii="方正小标宋简体" w:eastAsia="方正小标宋简体"/>
          <w:color w:val="auto"/>
          <w:sz w:val="44"/>
          <w:szCs w:val="44"/>
          <w:highlight w:val="none"/>
          <w:u w:val="none"/>
          <w:lang w:val="en-US" w:eastAsia="zh-CN"/>
        </w:rPr>
        <w:t>甘肃省建立长期护理保险制度的实施方案</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楷体_GB2312" w:hAnsi="楷体_GB2312" w:eastAsia="楷体_GB2312" w:cs="楷体_GB2312"/>
          <w:color w:val="auto"/>
          <w:u w:val="none"/>
          <w:lang w:val="en-US" w:eastAsia="zh-CN"/>
        </w:rPr>
      </w:pPr>
      <w:r>
        <w:rPr>
          <w:rFonts w:hint="eastAsia" w:ascii="楷体_GB2312" w:hAnsi="楷体_GB2312" w:eastAsia="楷体_GB2312" w:cs="楷体_GB2312"/>
          <w:color w:val="auto"/>
          <w:u w:val="none"/>
          <w:lang w:val="en-US" w:eastAsia="zh-CN"/>
        </w:rPr>
        <w:t>（征求意见稿）</w:t>
      </w:r>
    </w:p>
    <w:p>
      <w:pPr>
        <w:pStyle w:val="5"/>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snapToGrid/>
          <w:color w:val="auto"/>
          <w:kern w:val="2"/>
          <w:sz w:val="32"/>
          <w:szCs w:val="32"/>
          <w:u w:val="none"/>
          <w:lang w:val="en-US" w:eastAsia="zh-CN" w:bidi="ar"/>
        </w:rPr>
      </w:pPr>
    </w:p>
    <w:p>
      <w:pPr>
        <w:pStyle w:val="5"/>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仿宋_GB2312" w:hAnsi="仿宋_GB2312" w:eastAsia="仿宋_GB2312" w:cs="仿宋_GB2312"/>
          <w:snapToGrid/>
          <w:color w:val="auto"/>
          <w:kern w:val="2"/>
          <w:sz w:val="32"/>
          <w:szCs w:val="32"/>
          <w:u w:val="none"/>
          <w:lang w:val="en-US" w:eastAsia="zh-CN" w:bidi="ar"/>
        </w:rPr>
        <w:t>为贯彻落实中共中央和国务院有关文件精神，保障</w:t>
      </w:r>
      <w:r>
        <w:rPr>
          <w:rFonts w:hint="eastAsia" w:ascii="仿宋_GB2312" w:hAnsi="仿宋_GB2312" w:cs="仿宋_GB2312"/>
          <w:snapToGrid/>
          <w:color w:val="auto"/>
          <w:kern w:val="2"/>
          <w:sz w:val="32"/>
          <w:szCs w:val="32"/>
          <w:u w:val="none"/>
          <w:lang w:val="en-US" w:eastAsia="zh-CN" w:bidi="ar"/>
        </w:rPr>
        <w:t>长期</w:t>
      </w:r>
      <w:r>
        <w:rPr>
          <w:rFonts w:hint="eastAsia" w:ascii="仿宋_GB2312" w:hAnsi="仿宋_GB2312" w:eastAsia="仿宋_GB2312" w:cs="仿宋_GB2312"/>
          <w:snapToGrid/>
          <w:color w:val="auto"/>
          <w:kern w:val="2"/>
          <w:sz w:val="32"/>
          <w:szCs w:val="32"/>
          <w:u w:val="none"/>
          <w:lang w:val="en-US" w:eastAsia="zh-CN" w:bidi="ar"/>
        </w:rPr>
        <w:t>失能人员基本照护需求</w:t>
      </w:r>
      <w:r>
        <w:rPr>
          <w:rFonts w:hint="eastAsia" w:ascii="仿宋_GB2312" w:hAnsi="仿宋_GB2312" w:cs="仿宋_GB2312"/>
          <w:snapToGrid/>
          <w:color w:val="auto"/>
          <w:kern w:val="2"/>
          <w:sz w:val="32"/>
          <w:szCs w:val="32"/>
          <w:u w:val="none"/>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结合</w:t>
      </w:r>
      <w:r>
        <w:rPr>
          <w:rFonts w:hint="eastAsia" w:ascii="仿宋_GB2312" w:hAnsi="仿宋_GB2312" w:cs="仿宋_GB2312"/>
          <w:snapToGrid/>
          <w:color w:val="auto"/>
          <w:kern w:val="2"/>
          <w:sz w:val="32"/>
          <w:szCs w:val="32"/>
          <w:u w:val="none"/>
          <w:lang w:val="en-US" w:eastAsia="zh-CN" w:bidi="ar"/>
        </w:rPr>
        <w:t>我省</w:t>
      </w:r>
      <w:r>
        <w:rPr>
          <w:rFonts w:hint="eastAsia" w:ascii="仿宋_GB2312" w:hAnsi="仿宋_GB2312" w:eastAsia="仿宋_GB2312" w:cs="仿宋_GB2312"/>
          <w:snapToGrid/>
          <w:color w:val="auto"/>
          <w:kern w:val="2"/>
          <w:sz w:val="32"/>
          <w:szCs w:val="32"/>
          <w:u w:val="none"/>
          <w:lang w:val="en-US" w:eastAsia="zh-CN" w:bidi="ar"/>
        </w:rPr>
        <w:t>实际，制定本方案。</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default"/>
          <w:color w:val="auto"/>
          <w:sz w:val="32"/>
          <w:szCs w:val="32"/>
          <w:u w:val="none"/>
          <w:lang w:val="en-US" w:eastAsia="zh-CN"/>
        </w:rPr>
      </w:pPr>
      <w:r>
        <w:rPr>
          <w:rFonts w:hint="eastAsia" w:ascii="黑体" w:hAnsi="黑体" w:eastAsia="黑体" w:cs="黑体"/>
          <w:color w:val="auto"/>
          <w:sz w:val="32"/>
          <w:szCs w:val="32"/>
          <w:u w:val="none"/>
          <w:lang w:val="en-US" w:eastAsia="zh-CN"/>
        </w:rPr>
        <w:t>一、目标任务</w:t>
      </w:r>
    </w:p>
    <w:p>
      <w:pPr>
        <w:pStyle w:val="5"/>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仿宋_GB2312" w:hAnsi="仿宋_GB2312" w:eastAsia="仿宋_GB2312" w:cs="仿宋_GB2312"/>
          <w:snapToGrid/>
          <w:color w:val="auto"/>
          <w:kern w:val="2"/>
          <w:sz w:val="32"/>
          <w:szCs w:val="32"/>
          <w:u w:val="none"/>
          <w:lang w:val="en-US" w:eastAsia="zh-CN" w:bidi="ar"/>
        </w:rPr>
      </w:pPr>
      <w:r>
        <w:rPr>
          <w:rFonts w:hint="eastAsia" w:ascii="仿宋_GB2312" w:hAnsi="仿宋_GB2312" w:cs="仿宋_GB2312"/>
          <w:snapToGrid/>
          <w:color w:val="auto"/>
          <w:kern w:val="2"/>
          <w:sz w:val="32"/>
          <w:szCs w:val="32"/>
          <w:u w:val="none"/>
          <w:lang w:val="en-US" w:eastAsia="zh-CN" w:bidi="ar"/>
        </w:rPr>
        <w:t>按照</w:t>
      </w:r>
      <w:r>
        <w:rPr>
          <w:rFonts w:hint="eastAsia" w:ascii="仿宋_GB2312" w:hAnsi="仿宋_GB2312" w:eastAsia="仿宋_GB2312" w:cs="仿宋_GB2312"/>
          <w:snapToGrid/>
          <w:color w:val="auto"/>
          <w:kern w:val="2"/>
          <w:sz w:val="32"/>
          <w:szCs w:val="32"/>
          <w:u w:val="none"/>
          <w:lang w:val="en-US" w:eastAsia="zh-CN" w:bidi="ar"/>
        </w:rPr>
        <w:t>覆盖全民、统筹城乡、公平统一、安全规范、可持续的</w:t>
      </w:r>
      <w:r>
        <w:rPr>
          <w:rFonts w:hint="eastAsia" w:ascii="仿宋_GB2312" w:hAnsi="仿宋_GB2312" w:cs="仿宋_GB2312"/>
          <w:snapToGrid/>
          <w:color w:val="auto"/>
          <w:kern w:val="2"/>
          <w:sz w:val="32"/>
          <w:szCs w:val="32"/>
          <w:u w:val="none"/>
          <w:lang w:val="en-US" w:eastAsia="zh-CN" w:bidi="ar"/>
        </w:rPr>
        <w:t>目标要求，用3年左右时间建立与</w:t>
      </w:r>
      <w:r>
        <w:rPr>
          <w:rFonts w:hint="eastAsia" w:ascii="仿宋_GB2312" w:hAnsi="仿宋_GB2312" w:eastAsia="仿宋_GB2312" w:cs="仿宋_GB2312"/>
          <w:snapToGrid/>
          <w:color w:val="auto"/>
          <w:kern w:val="2"/>
          <w:sz w:val="32"/>
          <w:szCs w:val="32"/>
          <w:u w:val="none"/>
          <w:lang w:val="en-US" w:eastAsia="zh-CN" w:bidi="ar"/>
        </w:rPr>
        <w:t>我省经济社会发展水平相适宜</w:t>
      </w:r>
      <w:r>
        <w:rPr>
          <w:rFonts w:hint="eastAsia" w:ascii="仿宋_GB2312" w:hAnsi="仿宋_GB2312" w:cs="仿宋_GB2312"/>
          <w:snapToGrid/>
          <w:color w:val="auto"/>
          <w:kern w:val="2"/>
          <w:sz w:val="32"/>
          <w:szCs w:val="32"/>
          <w:u w:val="none"/>
          <w:lang w:val="en-US" w:eastAsia="zh-CN" w:bidi="ar"/>
        </w:rPr>
        <w:t>的长期护理保险制度。</w:t>
      </w:r>
      <w:r>
        <w:rPr>
          <w:rFonts w:hint="eastAsia" w:ascii="仿宋_GB2312" w:hAnsi="仿宋_GB2312" w:eastAsia="仿宋_GB2312" w:cs="仿宋_GB2312"/>
          <w:snapToGrid/>
          <w:color w:val="auto"/>
          <w:kern w:val="2"/>
          <w:sz w:val="32"/>
          <w:szCs w:val="32"/>
          <w:u w:val="none"/>
          <w:lang w:val="en-US" w:eastAsia="zh-CN" w:bidi="ar"/>
        </w:rPr>
        <w:t>2026年</w:t>
      </w:r>
      <w:r>
        <w:rPr>
          <w:rFonts w:hint="eastAsia" w:ascii="仿宋_GB2312" w:hAnsi="仿宋_GB2312" w:cs="仿宋_GB2312"/>
          <w:snapToGrid/>
          <w:color w:val="auto"/>
          <w:kern w:val="2"/>
          <w:sz w:val="32"/>
          <w:szCs w:val="32"/>
          <w:u w:val="none"/>
          <w:lang w:val="en-US" w:eastAsia="zh-CN" w:bidi="ar"/>
        </w:rPr>
        <w:t>开始</w:t>
      </w:r>
      <w:r>
        <w:rPr>
          <w:rFonts w:hint="eastAsia" w:ascii="仿宋_GB2312" w:hAnsi="仿宋_GB2312" w:eastAsia="仿宋_GB2312" w:cs="仿宋_GB2312"/>
          <w:snapToGrid/>
          <w:color w:val="auto"/>
          <w:kern w:val="2"/>
          <w:sz w:val="32"/>
          <w:szCs w:val="32"/>
          <w:u w:val="none"/>
          <w:lang w:val="en-US" w:eastAsia="zh-CN" w:bidi="ar"/>
        </w:rPr>
        <w:t>，</w:t>
      </w:r>
      <w:r>
        <w:rPr>
          <w:rFonts w:hint="eastAsia" w:ascii="仿宋_GB2312" w:hAnsi="仿宋_GB2312" w:cs="仿宋_GB2312"/>
          <w:snapToGrid/>
          <w:color w:val="auto"/>
          <w:kern w:val="2"/>
          <w:sz w:val="32"/>
          <w:szCs w:val="32"/>
          <w:u w:val="none"/>
          <w:lang w:val="en-US" w:eastAsia="zh-CN" w:bidi="ar"/>
        </w:rPr>
        <w:t>先从</w:t>
      </w:r>
      <w:r>
        <w:rPr>
          <w:rFonts w:hint="eastAsia" w:ascii="仿宋_GB2312" w:hAnsi="仿宋_GB2312" w:eastAsia="仿宋_GB2312" w:cs="仿宋_GB2312"/>
          <w:snapToGrid/>
          <w:color w:val="auto"/>
          <w:kern w:val="2"/>
          <w:sz w:val="32"/>
          <w:szCs w:val="32"/>
          <w:u w:val="none"/>
          <w:lang w:val="en-US" w:eastAsia="zh-CN" w:bidi="ar"/>
        </w:rPr>
        <w:t>单位职工、</w:t>
      </w:r>
      <w:bookmarkStart w:id="0" w:name="_GoBack"/>
      <w:bookmarkEnd w:id="0"/>
      <w:r>
        <w:rPr>
          <w:rFonts w:hint="eastAsia" w:ascii="仿宋_GB2312" w:hAnsi="仿宋_GB2312" w:eastAsia="仿宋_GB2312" w:cs="仿宋_GB2312"/>
          <w:snapToGrid/>
          <w:color w:val="auto"/>
          <w:kern w:val="2"/>
          <w:sz w:val="32"/>
          <w:szCs w:val="32"/>
          <w:u w:val="none"/>
          <w:lang w:val="en-US" w:eastAsia="zh-CN" w:bidi="ar"/>
        </w:rPr>
        <w:t>退休人员、灵活就业人员等人群</w:t>
      </w:r>
      <w:r>
        <w:rPr>
          <w:rFonts w:hint="eastAsia" w:ascii="仿宋_GB2312" w:hAnsi="仿宋_GB2312" w:cs="仿宋_GB2312"/>
          <w:snapToGrid/>
          <w:color w:val="auto"/>
          <w:kern w:val="2"/>
          <w:sz w:val="32"/>
          <w:szCs w:val="32"/>
          <w:u w:val="none"/>
          <w:lang w:val="en-US" w:eastAsia="zh-CN" w:bidi="ar"/>
        </w:rPr>
        <w:t>起步。</w:t>
      </w:r>
      <w:r>
        <w:rPr>
          <w:rFonts w:hint="eastAsia" w:ascii="仿宋_GB2312" w:hAnsi="仿宋_GB2312" w:eastAsia="仿宋_GB2312" w:cs="仿宋_GB2312"/>
          <w:snapToGrid/>
          <w:color w:val="auto"/>
          <w:kern w:val="2"/>
          <w:sz w:val="32"/>
          <w:szCs w:val="32"/>
          <w:u w:val="none"/>
          <w:lang w:val="en-US" w:eastAsia="zh-CN" w:bidi="ar"/>
        </w:rPr>
        <w:t>2027年</w:t>
      </w:r>
      <w:r>
        <w:rPr>
          <w:rFonts w:hint="eastAsia" w:ascii="仿宋_GB2312" w:hAnsi="仿宋_GB2312" w:cs="仿宋_GB2312"/>
          <w:snapToGrid/>
          <w:color w:val="auto"/>
          <w:kern w:val="2"/>
          <w:sz w:val="32"/>
          <w:szCs w:val="32"/>
          <w:u w:val="none"/>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将城乡居民纳入保障范围</w:t>
      </w:r>
      <w:r>
        <w:rPr>
          <w:rFonts w:hint="eastAsia" w:ascii="仿宋_GB2312" w:hAnsi="仿宋_GB2312" w:cs="仿宋_GB2312"/>
          <w:snapToGrid/>
          <w:color w:val="auto"/>
          <w:kern w:val="2"/>
          <w:sz w:val="32"/>
          <w:szCs w:val="32"/>
          <w:u w:val="none"/>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2028年</w:t>
      </w:r>
      <w:r>
        <w:rPr>
          <w:rFonts w:hint="eastAsia" w:ascii="仿宋_GB2312" w:hAnsi="仿宋_GB2312" w:cs="仿宋_GB2312"/>
          <w:snapToGrid/>
          <w:color w:val="auto"/>
          <w:kern w:val="2"/>
          <w:sz w:val="32"/>
          <w:szCs w:val="32"/>
          <w:u w:val="none"/>
          <w:lang w:val="en-US" w:eastAsia="zh-CN" w:bidi="ar"/>
        </w:rPr>
        <w:t>，持续扩大制度</w:t>
      </w:r>
      <w:r>
        <w:rPr>
          <w:rFonts w:hint="eastAsia" w:ascii="仿宋_GB2312" w:hAnsi="仿宋_GB2312" w:eastAsia="仿宋_GB2312" w:cs="仿宋_GB2312"/>
          <w:snapToGrid/>
          <w:color w:val="auto"/>
          <w:kern w:val="2"/>
          <w:sz w:val="32"/>
          <w:szCs w:val="32"/>
          <w:u w:val="none"/>
          <w:lang w:val="en-US" w:eastAsia="zh-CN" w:bidi="ar"/>
        </w:rPr>
        <w:t>覆</w:t>
      </w:r>
      <w:r>
        <w:rPr>
          <w:rFonts w:hint="eastAsia" w:ascii="仿宋_GB2312" w:hAnsi="仿宋_GB2312" w:cs="仿宋_GB2312"/>
          <w:snapToGrid/>
          <w:color w:val="auto"/>
          <w:kern w:val="2"/>
          <w:sz w:val="32"/>
          <w:szCs w:val="32"/>
          <w:u w:val="none"/>
          <w:lang w:val="en-US" w:eastAsia="zh-CN" w:bidi="ar"/>
        </w:rPr>
        <w:t>盖面，基本</w:t>
      </w:r>
      <w:r>
        <w:rPr>
          <w:rFonts w:hint="eastAsia" w:ascii="仿宋_GB2312" w:hAnsi="仿宋_GB2312" w:eastAsia="仿宋_GB2312" w:cs="仿宋_GB2312"/>
          <w:snapToGrid/>
          <w:color w:val="auto"/>
          <w:kern w:val="2"/>
          <w:sz w:val="32"/>
          <w:szCs w:val="32"/>
          <w:u w:val="none"/>
          <w:lang w:val="en-US" w:eastAsia="zh-CN" w:bidi="ar"/>
        </w:rPr>
        <w:t>建成权责清晰、筹资合理、保障适度、运行科学、管理规范的长期护理保险保障体系。</w:t>
      </w:r>
    </w:p>
    <w:p>
      <w:pPr>
        <w:pStyle w:val="5"/>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二、主要工作</w:t>
      </w:r>
    </w:p>
    <w:p>
      <w:pPr>
        <w:pStyle w:val="9"/>
        <w:keepNext w:val="0"/>
        <w:keepLines w:val="0"/>
        <w:pageBreakBefore w:val="0"/>
        <w:widowControl w:val="0"/>
        <w:kinsoku/>
        <w:wordWrap/>
        <w:overflowPunct/>
        <w:topLinePunct w:val="0"/>
        <w:autoSpaceDE w:val="0"/>
        <w:autoSpaceDN/>
        <w:bidi w:val="0"/>
        <w:spacing w:line="580" w:lineRule="exact"/>
        <w:ind w:firstLine="640"/>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（一）建立合理分担的多元筹资机制</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1.统筹层次。</w:t>
      </w:r>
      <w:r>
        <w:rPr>
          <w:rFonts w:hint="eastAsia" w:ascii="仿宋_GB2312" w:hAnsi="仿宋_GB2312" w:cs="仿宋_GB2312"/>
          <w:snapToGrid/>
          <w:color w:val="auto"/>
          <w:kern w:val="2"/>
          <w:sz w:val="32"/>
          <w:szCs w:val="32"/>
          <w:u w:val="none"/>
          <w:lang w:val="en-US" w:eastAsia="zh-CN" w:bidi="ar"/>
        </w:rPr>
        <w:t>我省长期护理保险制度</w:t>
      </w:r>
      <w:r>
        <w:rPr>
          <w:rFonts w:hint="eastAsia" w:ascii="仿宋_GB2312"/>
          <w:color w:val="auto"/>
          <w:sz w:val="32"/>
          <w:szCs w:val="32"/>
          <w:u w:val="none"/>
          <w:lang w:val="en-US" w:eastAsia="zh-CN"/>
        </w:rPr>
        <w:t>从</w:t>
      </w:r>
      <w:r>
        <w:rPr>
          <w:rFonts w:hint="eastAsia" w:ascii="仿宋_GB2312" w:hAnsi="仿宋_GB2312" w:cs="仿宋_GB2312"/>
          <w:snapToGrid/>
          <w:color w:val="auto"/>
          <w:kern w:val="2"/>
          <w:sz w:val="32"/>
          <w:szCs w:val="32"/>
          <w:u w:val="none"/>
          <w:lang w:val="en-US" w:eastAsia="zh-CN" w:bidi="ar"/>
        </w:rPr>
        <w:t>市级统筹起步，</w:t>
      </w:r>
      <w:r>
        <w:rPr>
          <w:rFonts w:hint="eastAsia" w:ascii="仿宋_GB2312" w:hAnsi="仿宋_GB2312" w:eastAsia="仿宋_GB2312" w:cs="仿宋_GB2312"/>
          <w:snapToGrid/>
          <w:color w:val="auto"/>
          <w:kern w:val="2"/>
          <w:sz w:val="32"/>
          <w:szCs w:val="32"/>
          <w:u w:val="none"/>
          <w:lang w:val="en-US" w:eastAsia="zh-CN" w:bidi="ar"/>
        </w:rPr>
        <w:t>统筹地区内统一制度政策、统一待遇保障、统一定点管理、统一经办服务、基金统一建账、资金统收统支。</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2.参保对象。</w:t>
      </w:r>
      <w:r>
        <w:rPr>
          <w:rFonts w:hint="eastAsia" w:ascii="仿宋_GB2312" w:hAnsi="仿宋_GB2312" w:cs="仿宋_GB2312"/>
          <w:snapToGrid/>
          <w:color w:val="auto"/>
          <w:kern w:val="2"/>
          <w:sz w:val="32"/>
          <w:szCs w:val="32"/>
          <w:u w:val="none"/>
          <w:lang w:val="en-US" w:eastAsia="zh-CN" w:bidi="ar"/>
        </w:rPr>
        <w:t>用人单位（包括企业、事业单位、机关、社会组织等）以及单位职工、退休人员、灵活就业人员和未就业城乡居民等，</w:t>
      </w:r>
      <w:r>
        <w:rPr>
          <w:rFonts w:hint="eastAsia" w:ascii="仿宋_GB2312" w:hAnsi="仿宋_GB2312" w:eastAsia="仿宋_GB2312" w:cs="仿宋_GB2312"/>
          <w:snapToGrid/>
          <w:color w:val="auto"/>
          <w:kern w:val="2"/>
          <w:sz w:val="32"/>
          <w:szCs w:val="32"/>
          <w:u w:val="none"/>
          <w:lang w:val="en-US" w:eastAsia="zh-CN" w:bidi="ar"/>
        </w:rPr>
        <w:t>按照属地管理原则，在参加基本医疗保险时，同步参加长期护理保险。</w:t>
      </w:r>
    </w:p>
    <w:p>
      <w:pPr>
        <w:pStyle w:val="9"/>
        <w:keepNext w:val="0"/>
        <w:keepLines w:val="0"/>
        <w:pageBreakBefore w:val="0"/>
        <w:widowControl w:val="0"/>
        <w:kinsoku/>
        <w:wordWrap/>
        <w:overflowPunct/>
        <w:topLinePunct w:val="0"/>
        <w:autoSpaceDE w:val="0"/>
        <w:autoSpaceDN/>
        <w:bidi w:val="0"/>
        <w:spacing w:line="580" w:lineRule="exact"/>
        <w:ind w:firstLine="640"/>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3.筹资标准。</w:t>
      </w:r>
      <w:r>
        <w:rPr>
          <w:rFonts w:hint="eastAsia" w:ascii="仿宋_GB2312" w:hAnsi="仿宋_GB2312" w:cs="仿宋_GB2312"/>
          <w:snapToGrid/>
          <w:color w:val="auto"/>
          <w:kern w:val="2"/>
          <w:sz w:val="32"/>
          <w:szCs w:val="32"/>
          <w:u w:val="none"/>
          <w:lang w:val="en-US" w:eastAsia="zh-CN" w:bidi="ar"/>
        </w:rPr>
        <w:t>长期护理保险基准费率全省统一为0.3%，按照参保对象分类确定筹资标准，并随国家政策变化和经济发展水平动态调整。</w:t>
      </w:r>
    </w:p>
    <w:p>
      <w:pPr>
        <w:pStyle w:val="9"/>
        <w:keepNext w:val="0"/>
        <w:keepLines w:val="0"/>
        <w:pageBreakBefore w:val="0"/>
        <w:widowControl w:val="0"/>
        <w:kinsoku/>
        <w:wordWrap/>
        <w:overflowPunct/>
        <w:topLinePunct w:val="0"/>
        <w:autoSpaceDE w:val="0"/>
        <w:autoSpaceDN/>
        <w:bidi w:val="0"/>
        <w:spacing w:line="580" w:lineRule="exact"/>
        <w:ind w:firstLine="640"/>
        <w:textAlignment w:val="auto"/>
        <w:rPr>
          <w:rFonts w:hint="eastAsia" w:ascii="仿宋_GB2312" w:hAnsi="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sz w:val="32"/>
          <w:szCs w:val="32"/>
          <w:u w:val="none"/>
          <w:lang w:val="en-US" w:eastAsia="zh-CN"/>
        </w:rPr>
        <w:t>4.分担机制。</w:t>
      </w:r>
      <w:r>
        <w:rPr>
          <w:rFonts w:hint="eastAsia" w:ascii="仿宋_GB2312" w:hAnsi="仿宋_GB2312" w:cs="仿宋_GB2312"/>
          <w:snapToGrid/>
          <w:color w:val="auto"/>
          <w:kern w:val="2"/>
          <w:sz w:val="32"/>
          <w:szCs w:val="32"/>
          <w:u w:val="none"/>
          <w:lang w:val="en-US" w:eastAsia="zh-CN" w:bidi="ar"/>
        </w:rPr>
        <w:t>长期护理保险基金由用人单位、个人、政府、社会等多元方式筹资。</w:t>
      </w:r>
    </w:p>
    <w:p>
      <w:pPr>
        <w:pStyle w:val="9"/>
        <w:keepNext w:val="0"/>
        <w:keepLines w:val="0"/>
        <w:pageBreakBefore w:val="0"/>
        <w:widowControl w:val="0"/>
        <w:kinsoku/>
        <w:wordWrap/>
        <w:overflowPunct/>
        <w:topLinePunct w:val="0"/>
        <w:autoSpaceDE w:val="0"/>
        <w:autoSpaceDN/>
        <w:bidi w:val="0"/>
        <w:spacing w:line="580" w:lineRule="exact"/>
        <w:ind w:firstLine="640"/>
        <w:textAlignment w:val="auto"/>
        <w:rPr>
          <w:rFonts w:hint="eastAsia" w:ascii="仿宋_GB2312" w:hAnsi="仿宋_GB2312" w:cs="仿宋_GB2312"/>
          <w:snapToGrid/>
          <w:color w:val="auto"/>
          <w:kern w:val="2"/>
          <w:sz w:val="32"/>
          <w:szCs w:val="32"/>
          <w:u w:val="none"/>
          <w:lang w:val="en" w:eastAsia="zh-CN" w:bidi="ar"/>
        </w:rPr>
      </w:pPr>
      <w:r>
        <w:rPr>
          <w:rFonts w:hint="eastAsia" w:ascii="仿宋_GB2312" w:hAnsi="仿宋_GB2312" w:eastAsia="仿宋_GB2312" w:cs="仿宋_GB2312"/>
          <w:snapToGrid/>
          <w:color w:val="auto"/>
          <w:kern w:val="2"/>
          <w:sz w:val="32"/>
          <w:szCs w:val="32"/>
          <w:u w:val="none"/>
          <w:lang w:val="en-US" w:eastAsia="zh-CN" w:bidi="ar"/>
        </w:rPr>
        <w:t>单位职工由用人单位和职工个人</w:t>
      </w:r>
      <w:r>
        <w:rPr>
          <w:rFonts w:hint="eastAsia" w:ascii="仿宋_GB2312" w:hAnsi="仿宋_GB2312" w:cs="仿宋_GB2312"/>
          <w:snapToGrid/>
          <w:color w:val="auto"/>
          <w:kern w:val="2"/>
          <w:sz w:val="32"/>
          <w:szCs w:val="32"/>
          <w:u w:val="none"/>
          <w:lang w:val="en-US" w:eastAsia="zh-CN" w:bidi="ar"/>
        </w:rPr>
        <w:t>同比例分担，</w:t>
      </w:r>
      <w:r>
        <w:rPr>
          <w:rFonts w:hint="eastAsia" w:ascii="仿宋_GB2312" w:hAnsi="仿宋_GB2312" w:eastAsia="仿宋_GB2312" w:cs="仿宋_GB2312"/>
          <w:snapToGrid/>
          <w:color w:val="auto"/>
          <w:kern w:val="2"/>
          <w:sz w:val="32"/>
          <w:szCs w:val="32"/>
          <w:u w:val="none"/>
          <w:lang w:val="en-US" w:eastAsia="zh-CN" w:bidi="ar"/>
        </w:rPr>
        <w:t>用人单位缴费基数为职工工资总额，</w:t>
      </w:r>
      <w:r>
        <w:rPr>
          <w:rFonts w:hint="eastAsia" w:ascii="仿宋_GB2312" w:hAnsi="仿宋_GB2312" w:eastAsia="仿宋_GB2312" w:cs="仿宋_GB2312"/>
          <w:snapToGrid/>
          <w:color w:val="auto"/>
          <w:kern w:val="2"/>
          <w:sz w:val="32"/>
          <w:szCs w:val="32"/>
          <w:u w:val="none"/>
          <w:lang w:val="en" w:eastAsia="zh-CN" w:bidi="ar"/>
        </w:rPr>
        <w:t>个人缴费基数为本人工资收入</w:t>
      </w:r>
      <w:r>
        <w:rPr>
          <w:rFonts w:hint="eastAsia" w:ascii="仿宋_GB2312" w:hAnsi="仿宋_GB2312" w:cs="仿宋_GB2312"/>
          <w:snapToGrid/>
          <w:color w:val="auto"/>
          <w:kern w:val="2"/>
          <w:sz w:val="32"/>
          <w:szCs w:val="32"/>
          <w:u w:val="none"/>
          <w:lang w:val="en" w:eastAsia="zh-CN" w:bidi="ar"/>
        </w:rPr>
        <w:t>，</w:t>
      </w:r>
      <w:r>
        <w:rPr>
          <w:rFonts w:hint="eastAsia" w:ascii="仿宋_GB2312" w:hAnsi="仿宋_GB2312" w:cs="仿宋_GB2312"/>
          <w:snapToGrid/>
          <w:color w:val="auto"/>
          <w:kern w:val="2"/>
          <w:sz w:val="32"/>
          <w:szCs w:val="32"/>
          <w:u w:val="none"/>
          <w:lang w:val="en-US" w:eastAsia="zh-CN" w:bidi="ar"/>
        </w:rPr>
        <w:t>用人单位和职工个人每月分别</w:t>
      </w:r>
      <w:r>
        <w:rPr>
          <w:rFonts w:hint="eastAsia" w:ascii="仿宋_GB2312" w:hAnsi="仿宋_GB2312" w:cs="仿宋_GB2312"/>
          <w:snapToGrid/>
          <w:color w:val="auto"/>
          <w:kern w:val="2"/>
          <w:sz w:val="32"/>
          <w:szCs w:val="32"/>
          <w:u w:val="none"/>
          <w:lang w:val="en" w:eastAsia="zh-CN" w:bidi="ar"/>
        </w:rPr>
        <w:t>按0.15%</w:t>
      </w:r>
      <w:r>
        <w:rPr>
          <w:rFonts w:hint="eastAsia" w:ascii="仿宋_GB2312" w:hAnsi="仿宋_GB2312" w:cs="仿宋_GB2312"/>
          <w:snapToGrid/>
          <w:color w:val="auto"/>
          <w:kern w:val="2"/>
          <w:sz w:val="32"/>
          <w:szCs w:val="32"/>
          <w:u w:val="none"/>
          <w:lang w:val="en-US" w:eastAsia="zh-CN" w:bidi="ar"/>
        </w:rPr>
        <w:t>的比例</w:t>
      </w:r>
      <w:r>
        <w:rPr>
          <w:rFonts w:hint="eastAsia" w:ascii="仿宋_GB2312" w:hAnsi="仿宋_GB2312" w:cs="仿宋_GB2312"/>
          <w:snapToGrid/>
          <w:color w:val="auto"/>
          <w:kern w:val="2"/>
          <w:sz w:val="32"/>
          <w:szCs w:val="32"/>
          <w:u w:val="none"/>
          <w:lang w:val="en" w:eastAsia="zh-CN" w:bidi="ar"/>
        </w:rPr>
        <w:t>缴纳。</w:t>
      </w:r>
    </w:p>
    <w:p>
      <w:pPr>
        <w:pStyle w:val="9"/>
        <w:keepNext w:val="0"/>
        <w:keepLines w:val="0"/>
        <w:pageBreakBefore w:val="0"/>
        <w:widowControl w:val="0"/>
        <w:kinsoku/>
        <w:wordWrap/>
        <w:overflowPunct/>
        <w:topLinePunct w:val="0"/>
        <w:autoSpaceDE w:val="0"/>
        <w:autoSpaceDN/>
        <w:bidi w:val="0"/>
        <w:spacing w:line="580" w:lineRule="exact"/>
        <w:ind w:firstLine="640"/>
        <w:textAlignment w:val="auto"/>
        <w:rPr>
          <w:rFonts w:hint="default" w:ascii="仿宋_GB2312" w:hAnsi="仿宋_GB2312" w:eastAsia="仿宋_GB2312" w:cs="仿宋_GB2312"/>
          <w:snapToGrid/>
          <w:color w:val="auto"/>
          <w:kern w:val="2"/>
          <w:sz w:val="32"/>
          <w:szCs w:val="32"/>
          <w:u w:val="none"/>
          <w:lang w:val="en-US" w:eastAsia="zh-CN" w:bidi="ar"/>
        </w:rPr>
      </w:pPr>
      <w:r>
        <w:rPr>
          <w:rFonts w:hint="eastAsia" w:ascii="仿宋_GB2312" w:hAnsi="仿宋_GB2312" w:eastAsia="仿宋_GB2312" w:cs="仿宋_GB2312"/>
          <w:snapToGrid/>
          <w:color w:val="auto"/>
          <w:kern w:val="2"/>
          <w:sz w:val="32"/>
          <w:szCs w:val="32"/>
          <w:u w:val="none"/>
          <w:lang w:val="en-US" w:eastAsia="zh-CN" w:bidi="ar"/>
        </w:rPr>
        <w:t>职工基本医疗保险基金结余较为充足的统筹地区，制度建立当年，为不增加用人单位缴费负担，可在充分测算评估、确保调整职工基本医疗保险单位费率后职工基本医疗保险统筹基金累计结余可支付月数不少于12个月且不出现当期赤字的基础上，从职工基本医疗保险单位缴费费率中调整出0.15%，用于长期护理保险在职职工单位缴费费率。</w:t>
      </w:r>
    </w:p>
    <w:p>
      <w:pPr>
        <w:pStyle w:val="9"/>
        <w:keepNext w:val="0"/>
        <w:keepLines w:val="0"/>
        <w:pageBreakBefore w:val="0"/>
        <w:widowControl w:val="0"/>
        <w:kinsoku/>
        <w:wordWrap/>
        <w:overflowPunct/>
        <w:topLinePunct w:val="0"/>
        <w:autoSpaceDE w:val="0"/>
        <w:autoSpaceDN/>
        <w:bidi w:val="0"/>
        <w:spacing w:line="580" w:lineRule="exact"/>
        <w:ind w:firstLine="640"/>
        <w:textAlignment w:val="auto"/>
        <w:rPr>
          <w:rFonts w:hint="eastAsia" w:ascii="仿宋_GB2312" w:hAnsi="仿宋_GB2312" w:cs="仿宋_GB2312"/>
          <w:snapToGrid/>
          <w:color w:val="auto"/>
          <w:kern w:val="2"/>
          <w:sz w:val="32"/>
          <w:szCs w:val="32"/>
          <w:u w:val="none"/>
          <w:lang w:val="en-US" w:eastAsia="zh-CN" w:bidi="ar"/>
        </w:rPr>
      </w:pPr>
      <w:r>
        <w:rPr>
          <w:rFonts w:hint="eastAsia" w:ascii="仿宋_GB2312" w:hAnsi="仿宋_GB2312" w:eastAsia="仿宋_GB2312" w:cs="仿宋_GB2312"/>
          <w:snapToGrid/>
          <w:color w:val="auto"/>
          <w:kern w:val="2"/>
          <w:sz w:val="32"/>
          <w:szCs w:val="32"/>
          <w:u w:val="none"/>
          <w:lang w:val="en-US" w:eastAsia="zh-CN" w:bidi="ar"/>
        </w:rPr>
        <w:t>退休人员由</w:t>
      </w:r>
      <w:r>
        <w:rPr>
          <w:rFonts w:hint="eastAsia" w:ascii="仿宋_GB2312" w:hAnsi="仿宋_GB2312" w:eastAsia="仿宋_GB2312" w:cs="仿宋_GB2312"/>
          <w:snapToGrid/>
          <w:color w:val="auto"/>
          <w:kern w:val="2"/>
          <w:sz w:val="32"/>
          <w:szCs w:val="32"/>
          <w:u w:val="none"/>
          <w:lang w:val="en" w:eastAsia="zh-CN" w:bidi="ar"/>
        </w:rPr>
        <w:t>个人</w:t>
      </w:r>
      <w:r>
        <w:rPr>
          <w:rFonts w:hint="eastAsia" w:ascii="仿宋_GB2312" w:hAnsi="仿宋_GB2312" w:eastAsia="仿宋_GB2312" w:cs="仿宋_GB2312"/>
          <w:snapToGrid/>
          <w:color w:val="auto"/>
          <w:kern w:val="2"/>
          <w:sz w:val="32"/>
          <w:szCs w:val="32"/>
          <w:u w:val="none"/>
          <w:lang w:val="en-US" w:eastAsia="zh-CN" w:bidi="ar"/>
        </w:rPr>
        <w:t>缴费，原用人单位不缴费。</w:t>
      </w:r>
      <w:r>
        <w:rPr>
          <w:rFonts w:hint="eastAsia" w:ascii="仿宋_GB2312" w:hAnsi="仿宋_GB2312" w:eastAsia="仿宋_GB2312" w:cs="仿宋_GB2312"/>
          <w:snapToGrid/>
          <w:color w:val="auto"/>
          <w:kern w:val="2"/>
          <w:sz w:val="32"/>
          <w:szCs w:val="32"/>
          <w:u w:val="none"/>
          <w:lang w:val="en" w:eastAsia="zh-CN" w:bidi="ar"/>
        </w:rPr>
        <w:t>缴费基数</w:t>
      </w:r>
      <w:r>
        <w:rPr>
          <w:rFonts w:hint="eastAsia" w:ascii="仿宋_GB2312" w:hAnsi="仿宋_GB2312" w:eastAsia="仿宋_GB2312" w:cs="仿宋_GB2312"/>
          <w:snapToGrid/>
          <w:color w:val="auto"/>
          <w:kern w:val="2"/>
          <w:sz w:val="32"/>
          <w:szCs w:val="32"/>
          <w:u w:val="none"/>
          <w:lang w:val="en-US" w:eastAsia="zh-CN" w:bidi="ar"/>
        </w:rPr>
        <w:t>为本人基本养</w:t>
      </w:r>
      <w:r>
        <w:rPr>
          <w:rFonts w:hint="eastAsia" w:ascii="仿宋_GB2312" w:hAnsi="仿宋_GB2312" w:eastAsia="仿宋_GB2312" w:cs="仿宋_GB2312"/>
          <w:snapToGrid/>
          <w:color w:val="auto"/>
          <w:kern w:val="2"/>
          <w:sz w:val="32"/>
          <w:szCs w:val="32"/>
          <w:u w:val="none"/>
          <w:lang w:val="en" w:eastAsia="zh-CN" w:bidi="ar"/>
        </w:rPr>
        <w:t>老金，费率</w:t>
      </w:r>
      <w:r>
        <w:rPr>
          <w:rFonts w:hint="eastAsia" w:ascii="仿宋_GB2312" w:hAnsi="仿宋_GB2312" w:cs="仿宋_GB2312"/>
          <w:snapToGrid/>
          <w:color w:val="auto"/>
          <w:kern w:val="2"/>
          <w:sz w:val="32"/>
          <w:szCs w:val="32"/>
          <w:u w:val="none"/>
          <w:lang w:val="en-US" w:eastAsia="zh-CN" w:bidi="ar"/>
        </w:rPr>
        <w:t>为0.15%。</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cs="仿宋_GB2312"/>
          <w:snapToGrid/>
          <w:color w:val="auto"/>
          <w:kern w:val="2"/>
          <w:sz w:val="32"/>
          <w:szCs w:val="32"/>
          <w:u w:val="none"/>
          <w:lang w:val="en-US" w:eastAsia="zh-CN" w:bidi="ar"/>
        </w:rPr>
      </w:pPr>
      <w:r>
        <w:rPr>
          <w:rFonts w:hint="eastAsia" w:ascii="仿宋_GB2312" w:hAnsi="仿宋_GB2312" w:cs="仿宋_GB2312"/>
          <w:snapToGrid/>
          <w:color w:val="auto"/>
          <w:kern w:val="2"/>
          <w:sz w:val="32"/>
          <w:szCs w:val="32"/>
          <w:u w:val="none"/>
          <w:lang w:val="en-US" w:eastAsia="zh-CN" w:bidi="ar"/>
        </w:rPr>
        <w:t>未就业城乡居民由个人缴费和政府补助（含</w:t>
      </w:r>
      <w:r>
        <w:rPr>
          <w:rFonts w:hint="eastAsia" w:ascii="仿宋_GB2312" w:hAnsi="仿宋_GB2312" w:cs="仿宋_GB2312"/>
          <w:snapToGrid/>
          <w:color w:val="auto"/>
          <w:kern w:val="2"/>
          <w:sz w:val="32"/>
          <w:szCs w:val="32"/>
          <w:u w:val="none"/>
          <w:lang w:val="en" w:eastAsia="zh-CN" w:bidi="ar"/>
        </w:rPr>
        <w:t>中央财政和地方财政</w:t>
      </w:r>
      <w:r>
        <w:rPr>
          <w:rFonts w:hint="eastAsia" w:ascii="仿宋_GB2312" w:hAnsi="仿宋_GB2312" w:cs="仿宋_GB2312"/>
          <w:snapToGrid/>
          <w:color w:val="auto"/>
          <w:kern w:val="2"/>
          <w:sz w:val="32"/>
          <w:szCs w:val="32"/>
          <w:u w:val="none"/>
          <w:lang w:val="en-US" w:eastAsia="zh-CN" w:bidi="ar"/>
        </w:rPr>
        <w:t>）按</w:t>
      </w:r>
      <w:r>
        <w:rPr>
          <w:rFonts w:hint="eastAsia" w:ascii="仿宋_GB2312" w:hAnsi="仿宋_GB2312" w:eastAsia="仿宋_GB2312" w:cs="仿宋_GB2312"/>
          <w:snapToGrid/>
          <w:color w:val="auto"/>
          <w:kern w:val="2"/>
          <w:sz w:val="32"/>
          <w:szCs w:val="32"/>
          <w:u w:val="none"/>
          <w:lang w:val="en-US" w:eastAsia="zh-CN" w:bidi="ar"/>
        </w:rPr>
        <w:t>1∶1</w:t>
      </w:r>
      <w:r>
        <w:rPr>
          <w:rFonts w:hint="eastAsia" w:ascii="仿宋_GB2312" w:hAnsi="仿宋_GB2312" w:cs="仿宋_GB2312"/>
          <w:snapToGrid/>
          <w:color w:val="auto"/>
          <w:kern w:val="2"/>
          <w:sz w:val="32"/>
          <w:szCs w:val="32"/>
          <w:u w:val="none"/>
          <w:lang w:val="en-US" w:eastAsia="zh-CN" w:bidi="ar"/>
        </w:rPr>
        <w:t>的比例共同筹资</w:t>
      </w:r>
      <w:r>
        <w:rPr>
          <w:rFonts w:hint="eastAsia" w:cs="仿宋_GB2312"/>
          <w:snapToGrid/>
          <w:color w:val="auto"/>
          <w:kern w:val="2"/>
          <w:sz w:val="32"/>
          <w:szCs w:val="32"/>
          <w:u w:val="none"/>
          <w:lang w:val="en-US" w:eastAsia="zh-CN" w:bidi="ar"/>
        </w:rPr>
        <w:t>，</w:t>
      </w:r>
      <w:r>
        <w:rPr>
          <w:rFonts w:hint="eastAsia" w:ascii="仿宋_GB2312" w:hAnsi="仿宋_GB2312" w:cs="仿宋_GB2312"/>
          <w:snapToGrid/>
          <w:color w:val="auto"/>
          <w:kern w:val="2"/>
          <w:sz w:val="32"/>
          <w:szCs w:val="32"/>
          <w:u w:val="none"/>
          <w:lang w:val="en-US" w:eastAsia="zh-CN" w:bidi="ar"/>
        </w:rPr>
        <w:t>具体补助办法由省医保局会同省财政厅，按照国家规定并根据我省实际另行制定。</w:t>
      </w:r>
      <w:r>
        <w:rPr>
          <w:rFonts w:hint="eastAsia" w:ascii="仿宋_GB2312" w:hAnsi="仿宋_GB2312" w:eastAsia="仿宋_GB2312" w:cs="仿宋_GB2312"/>
          <w:snapToGrid/>
          <w:color w:val="auto"/>
          <w:kern w:val="2"/>
          <w:sz w:val="32"/>
          <w:szCs w:val="32"/>
          <w:u w:val="none"/>
          <w:lang w:val="en-US" w:eastAsia="zh-CN" w:bidi="ar"/>
        </w:rPr>
        <w:t>缴费基数为统筹地区上年度城乡居民人均可支配收入，</w:t>
      </w:r>
      <w:r>
        <w:rPr>
          <w:rFonts w:hint="eastAsia" w:cs="仿宋_GB2312"/>
          <w:snapToGrid/>
          <w:color w:val="auto"/>
          <w:kern w:val="2"/>
          <w:sz w:val="32"/>
          <w:szCs w:val="32"/>
          <w:u w:val="none"/>
          <w:lang w:val="en-US" w:eastAsia="zh-CN" w:bidi="ar"/>
        </w:rPr>
        <w:t>按年度缴费。制度启动当年初始费率为</w:t>
      </w:r>
      <w:r>
        <w:rPr>
          <w:rFonts w:hint="eastAsia" w:ascii="仿宋_GB2312" w:hAnsi="仿宋_GB2312" w:eastAsia="仿宋_GB2312" w:cs="仿宋_GB2312"/>
          <w:snapToGrid/>
          <w:color w:val="auto"/>
          <w:kern w:val="2"/>
          <w:sz w:val="32"/>
          <w:szCs w:val="32"/>
          <w:u w:val="none"/>
          <w:lang w:val="en-US" w:eastAsia="zh-CN" w:bidi="ar"/>
        </w:rPr>
        <w:t>0.15%</w:t>
      </w:r>
      <w:r>
        <w:rPr>
          <w:rFonts w:hint="eastAsia" w:cs="仿宋_GB2312"/>
          <w:snapToGrid/>
          <w:color w:val="auto"/>
          <w:kern w:val="2"/>
          <w:sz w:val="32"/>
          <w:szCs w:val="32"/>
          <w:u w:val="none"/>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5</w:t>
      </w:r>
      <w:r>
        <w:rPr>
          <w:rFonts w:hint="eastAsia" w:cs="仿宋_GB2312"/>
          <w:snapToGrid/>
          <w:color w:val="auto"/>
          <w:kern w:val="2"/>
          <w:sz w:val="32"/>
          <w:szCs w:val="32"/>
          <w:u w:val="none"/>
          <w:lang w:val="en-US" w:eastAsia="zh-CN" w:bidi="ar"/>
        </w:rPr>
        <w:t>年内逐步提升至</w:t>
      </w:r>
      <w:r>
        <w:rPr>
          <w:rFonts w:hint="eastAsia" w:ascii="仿宋_GB2312" w:hAnsi="仿宋_GB2312" w:eastAsia="仿宋_GB2312" w:cs="仿宋_GB2312"/>
          <w:snapToGrid/>
          <w:color w:val="auto"/>
          <w:kern w:val="2"/>
          <w:sz w:val="32"/>
          <w:szCs w:val="32"/>
          <w:u w:val="none"/>
          <w:lang w:val="en-US" w:eastAsia="zh-CN" w:bidi="ar"/>
        </w:rPr>
        <w:t>0.3%</w:t>
      </w:r>
      <w:r>
        <w:rPr>
          <w:rFonts w:hint="eastAsia" w:ascii="仿宋_GB2312" w:hAnsi="仿宋_GB2312" w:cs="仿宋_GB2312"/>
          <w:snapToGrid/>
          <w:color w:val="auto"/>
          <w:kern w:val="2"/>
          <w:sz w:val="32"/>
          <w:szCs w:val="32"/>
          <w:u w:val="none"/>
          <w:lang w:val="en-US" w:eastAsia="zh-CN" w:bidi="ar"/>
        </w:rPr>
        <w:t>，费率过渡办法由各统筹地区制定，有条件的统筹地区也可从0.3%起步</w:t>
      </w:r>
      <w:r>
        <w:rPr>
          <w:rFonts w:hint="eastAsia" w:cs="仿宋_GB2312"/>
          <w:snapToGrid/>
          <w:color w:val="auto"/>
          <w:kern w:val="2"/>
          <w:sz w:val="32"/>
          <w:szCs w:val="32"/>
          <w:u w:val="none"/>
          <w:lang w:val="en-US" w:eastAsia="zh-CN" w:bidi="ar"/>
        </w:rPr>
        <w:t>。</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仿宋_GB2312" w:hAnsi="仿宋_GB2312" w:eastAsia="仿宋_GB2312" w:cs="仿宋_GB2312"/>
          <w:snapToGrid/>
          <w:color w:val="auto"/>
          <w:kern w:val="2"/>
          <w:sz w:val="32"/>
          <w:szCs w:val="32"/>
          <w:u w:val="none"/>
          <w:lang w:val="en-US" w:eastAsia="zh-CN" w:bidi="ar"/>
        </w:rPr>
        <w:t>鼓励灵活就业人员按单位职工费率标准参保</w:t>
      </w:r>
      <w:r>
        <w:rPr>
          <w:rFonts w:hint="eastAsia" w:ascii="仿宋_GB2312" w:hAnsi="仿宋_GB2312" w:cs="仿宋_GB2312"/>
          <w:snapToGrid/>
          <w:color w:val="auto"/>
          <w:kern w:val="2"/>
          <w:sz w:val="32"/>
          <w:szCs w:val="32"/>
          <w:u w:val="none"/>
          <w:lang w:val="en-US" w:eastAsia="zh-CN" w:bidi="ar"/>
        </w:rPr>
        <w:t>，缴费基数不低于统筹地区</w:t>
      </w:r>
      <w:r>
        <w:rPr>
          <w:rFonts w:hint="eastAsia" w:ascii="仿宋_GB2312" w:hAnsi="仿宋_GB2312" w:eastAsia="仿宋_GB2312" w:cs="仿宋_GB2312"/>
          <w:snapToGrid/>
          <w:color w:val="auto"/>
          <w:kern w:val="2"/>
          <w:sz w:val="32"/>
          <w:szCs w:val="32"/>
          <w:u w:val="none"/>
          <w:lang w:val="en-US" w:eastAsia="zh-CN" w:bidi="ar"/>
        </w:rPr>
        <w:t>公布</w:t>
      </w:r>
      <w:r>
        <w:rPr>
          <w:rFonts w:hint="eastAsia" w:cs="仿宋_GB2312"/>
          <w:snapToGrid/>
          <w:color w:val="auto"/>
          <w:kern w:val="2"/>
          <w:sz w:val="32"/>
          <w:szCs w:val="32"/>
          <w:u w:val="none"/>
          <w:lang w:val="en-US" w:eastAsia="zh-CN" w:bidi="ar"/>
        </w:rPr>
        <w:t>的</w:t>
      </w:r>
      <w:r>
        <w:rPr>
          <w:rFonts w:hint="eastAsia" w:ascii="仿宋_GB2312" w:hAnsi="仿宋_GB2312" w:cs="仿宋_GB2312"/>
          <w:snapToGrid/>
          <w:color w:val="auto"/>
          <w:kern w:val="2"/>
          <w:sz w:val="32"/>
          <w:szCs w:val="32"/>
          <w:u w:val="none"/>
          <w:lang w:val="en-US" w:eastAsia="zh-CN" w:bidi="ar"/>
        </w:rPr>
        <w:t>社会平均工资的60%，费率为0.3%，由个人随同基本医疗保险参保缴费。</w:t>
      </w:r>
      <w:r>
        <w:rPr>
          <w:rFonts w:hint="eastAsia" w:ascii="仿宋_GB2312" w:hAnsi="仿宋_GB2312" w:eastAsia="仿宋_GB2312" w:cs="仿宋_GB2312"/>
          <w:snapToGrid/>
          <w:color w:val="auto"/>
          <w:kern w:val="2"/>
          <w:sz w:val="32"/>
          <w:szCs w:val="32"/>
          <w:u w:val="none"/>
          <w:lang w:val="en-US" w:eastAsia="zh-CN" w:bidi="ar"/>
        </w:rPr>
        <w:t>灵活就业人员也可选择按未就业城乡居民参保政策参保缴费。</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仿宋_GB2312" w:hAnsi="仿宋_GB2312" w:eastAsia="仿宋_GB2312" w:cs="仿宋_GB2312"/>
          <w:snapToGrid/>
          <w:color w:val="auto"/>
          <w:kern w:val="2"/>
          <w:sz w:val="32"/>
          <w:szCs w:val="32"/>
          <w:u w:val="none"/>
          <w:lang w:val="en-US" w:eastAsia="zh-CN" w:bidi="ar"/>
        </w:rPr>
        <w:t>18周岁以下</w:t>
      </w:r>
      <w:r>
        <w:rPr>
          <w:rFonts w:hint="eastAsia" w:ascii="仿宋_GB2312" w:hAnsi="仿宋_GB2312" w:cs="仿宋_GB2312"/>
          <w:snapToGrid/>
          <w:color w:val="auto"/>
          <w:kern w:val="2"/>
          <w:sz w:val="32"/>
          <w:szCs w:val="32"/>
          <w:u w:val="none"/>
          <w:lang w:val="en-US" w:eastAsia="zh-CN" w:bidi="ar"/>
        </w:rPr>
        <w:t>未就业</w:t>
      </w:r>
      <w:r>
        <w:rPr>
          <w:rFonts w:hint="eastAsia" w:ascii="仿宋_GB2312" w:hAnsi="仿宋_GB2312" w:eastAsia="仿宋_GB2312" w:cs="仿宋_GB2312"/>
          <w:snapToGrid/>
          <w:color w:val="auto"/>
          <w:kern w:val="2"/>
          <w:sz w:val="32"/>
          <w:szCs w:val="32"/>
          <w:u w:val="none"/>
          <w:lang w:val="en-US" w:eastAsia="zh-CN" w:bidi="ar"/>
        </w:rPr>
        <w:t>人员随父母或</w:t>
      </w:r>
      <w:r>
        <w:rPr>
          <w:rFonts w:hint="eastAsia" w:ascii="仿宋_GB2312" w:hAnsi="仿宋_GB2312" w:cs="仿宋_GB2312"/>
          <w:snapToGrid/>
          <w:color w:val="auto"/>
          <w:kern w:val="2"/>
          <w:sz w:val="32"/>
          <w:szCs w:val="32"/>
          <w:u w:val="none"/>
          <w:lang w:val="en-US" w:eastAsia="zh-CN" w:bidi="ar"/>
        </w:rPr>
        <w:t>其他</w:t>
      </w:r>
      <w:r>
        <w:rPr>
          <w:rFonts w:hint="eastAsia" w:ascii="仿宋_GB2312" w:hAnsi="仿宋_GB2312" w:eastAsia="仿宋_GB2312" w:cs="仿宋_GB2312"/>
          <w:snapToGrid/>
          <w:color w:val="auto"/>
          <w:kern w:val="2"/>
          <w:sz w:val="32"/>
          <w:szCs w:val="32"/>
          <w:u w:val="none"/>
          <w:lang w:val="en-US" w:eastAsia="zh-CN" w:bidi="ar"/>
        </w:rPr>
        <w:t>法定抚养人等参保，不单独筹资。</w:t>
      </w:r>
      <w:r>
        <w:rPr>
          <w:rFonts w:hint="eastAsia" w:ascii="仿宋_GB2312" w:hAnsi="仿宋_GB2312" w:cs="仿宋_GB2312"/>
          <w:snapToGrid/>
          <w:color w:val="auto"/>
          <w:kern w:val="2"/>
          <w:sz w:val="32"/>
          <w:szCs w:val="32"/>
          <w:u w:val="none"/>
          <w:lang w:val="en-US" w:eastAsia="zh-CN" w:bidi="ar"/>
        </w:rPr>
        <w:t>孤儿、事实无人抚养儿童</w:t>
      </w:r>
      <w:r>
        <w:rPr>
          <w:rFonts w:hint="eastAsia" w:cs="仿宋_GB2312"/>
          <w:snapToGrid/>
          <w:color w:val="auto"/>
          <w:kern w:val="2"/>
          <w:sz w:val="32"/>
          <w:szCs w:val="32"/>
          <w:u w:val="none"/>
          <w:lang w:val="en-US" w:eastAsia="zh-CN" w:bidi="ar"/>
        </w:rPr>
        <w:t>等</w:t>
      </w:r>
      <w:r>
        <w:rPr>
          <w:rFonts w:hint="eastAsia" w:ascii="仿宋_GB2312" w:hAnsi="仿宋_GB2312" w:cs="仿宋_GB2312"/>
          <w:snapToGrid/>
          <w:color w:val="auto"/>
          <w:kern w:val="2"/>
          <w:sz w:val="32"/>
          <w:szCs w:val="32"/>
          <w:u w:val="none"/>
          <w:lang w:val="en-US" w:eastAsia="zh-CN" w:bidi="ar"/>
        </w:rPr>
        <w:t>中无法跟从参保的，视同参保。18周岁</w:t>
      </w:r>
      <w:r>
        <w:rPr>
          <w:rFonts w:hint="eastAsia" w:ascii="仿宋_GB2312" w:hAnsi="仿宋_GB2312" w:eastAsia="仿宋_GB2312" w:cs="仿宋_GB2312"/>
          <w:snapToGrid/>
          <w:color w:val="auto"/>
          <w:kern w:val="2"/>
          <w:sz w:val="32"/>
          <w:szCs w:val="32"/>
          <w:u w:val="none"/>
          <w:lang w:val="en-US" w:eastAsia="zh-CN" w:bidi="ar"/>
        </w:rPr>
        <w:t>以下已合法就业</w:t>
      </w:r>
      <w:r>
        <w:rPr>
          <w:rFonts w:hint="eastAsia" w:ascii="仿宋_GB2312" w:hAnsi="仿宋_GB2312" w:cs="仿宋_GB2312"/>
          <w:snapToGrid/>
          <w:color w:val="auto"/>
          <w:kern w:val="2"/>
          <w:sz w:val="32"/>
          <w:szCs w:val="32"/>
          <w:u w:val="none"/>
          <w:lang w:val="en-US" w:eastAsia="zh-CN" w:bidi="ar"/>
        </w:rPr>
        <w:t>人员，按规定</w:t>
      </w:r>
      <w:r>
        <w:rPr>
          <w:rFonts w:hint="eastAsia" w:cs="仿宋_GB2312"/>
          <w:snapToGrid/>
          <w:color w:val="auto"/>
          <w:kern w:val="2"/>
          <w:sz w:val="32"/>
          <w:szCs w:val="32"/>
          <w:u w:val="none"/>
          <w:lang w:val="en-US" w:eastAsia="zh-CN" w:bidi="ar"/>
        </w:rPr>
        <w:t>以</w:t>
      </w:r>
      <w:r>
        <w:rPr>
          <w:rFonts w:hint="eastAsia" w:ascii="仿宋_GB2312" w:hAnsi="仿宋_GB2312" w:cs="仿宋_GB2312"/>
          <w:snapToGrid/>
          <w:color w:val="auto"/>
          <w:kern w:val="2"/>
          <w:sz w:val="32"/>
          <w:szCs w:val="32"/>
          <w:u w:val="none"/>
          <w:lang w:val="en-US" w:eastAsia="zh-CN" w:bidi="ar"/>
        </w:rPr>
        <w:t>职工</w:t>
      </w:r>
      <w:r>
        <w:rPr>
          <w:rFonts w:hint="eastAsia" w:cs="仿宋_GB2312"/>
          <w:snapToGrid/>
          <w:color w:val="auto"/>
          <w:kern w:val="2"/>
          <w:sz w:val="32"/>
          <w:szCs w:val="32"/>
          <w:u w:val="none"/>
          <w:lang w:val="en-US" w:eastAsia="zh-CN" w:bidi="ar"/>
        </w:rPr>
        <w:t>身份</w:t>
      </w:r>
      <w:r>
        <w:rPr>
          <w:rFonts w:hint="eastAsia" w:ascii="仿宋_GB2312" w:hAnsi="仿宋_GB2312" w:cs="仿宋_GB2312"/>
          <w:snapToGrid/>
          <w:color w:val="auto"/>
          <w:kern w:val="2"/>
          <w:sz w:val="32"/>
          <w:szCs w:val="32"/>
          <w:u w:val="none"/>
          <w:lang w:val="en-US" w:eastAsia="zh-CN" w:bidi="ar"/>
        </w:rPr>
        <w:t>参加长期护理保险并享受</w:t>
      </w:r>
      <w:r>
        <w:rPr>
          <w:rFonts w:hint="eastAsia" w:cs="仿宋_GB2312"/>
          <w:snapToGrid/>
          <w:color w:val="auto"/>
          <w:kern w:val="2"/>
          <w:sz w:val="32"/>
          <w:szCs w:val="32"/>
          <w:u w:val="none"/>
          <w:lang w:val="en-US" w:eastAsia="zh-CN" w:bidi="ar"/>
        </w:rPr>
        <w:t>相应</w:t>
      </w:r>
      <w:r>
        <w:rPr>
          <w:rFonts w:hint="eastAsia" w:ascii="仿宋_GB2312" w:hAnsi="仿宋_GB2312" w:cs="仿宋_GB2312"/>
          <w:snapToGrid/>
          <w:color w:val="auto"/>
          <w:kern w:val="2"/>
          <w:sz w:val="32"/>
          <w:szCs w:val="32"/>
          <w:u w:val="none"/>
          <w:lang w:val="en-US" w:eastAsia="zh-CN" w:bidi="ar"/>
        </w:rPr>
        <w:t>待遇。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5.缴费方式。</w:t>
      </w:r>
      <w:r>
        <w:rPr>
          <w:rFonts w:hint="eastAsia" w:ascii="仿宋_GB2312" w:hAnsi="仿宋_GB2312" w:eastAsia="仿宋_GB2312" w:cs="仿宋_GB2312"/>
          <w:snapToGrid/>
          <w:color w:val="auto"/>
          <w:kern w:val="2"/>
          <w:sz w:val="32"/>
          <w:szCs w:val="32"/>
          <w:u w:val="none"/>
          <w:lang w:val="en-US" w:eastAsia="zh-CN" w:bidi="ar"/>
        </w:rPr>
        <w:t>职工基本医疗保险个人账户可以用于本人及近亲属（包括配偶、父母、子女、兄弟姐妹、祖父母、外祖父母、孙子女、外孙子女）参</w:t>
      </w:r>
      <w:r>
        <w:rPr>
          <w:rFonts w:hint="eastAsia" w:ascii="仿宋_GB2312" w:hAnsi="仿宋_GB2312" w:cs="仿宋_GB2312"/>
          <w:snapToGrid/>
          <w:color w:val="auto"/>
          <w:kern w:val="2"/>
          <w:sz w:val="32"/>
          <w:szCs w:val="32"/>
          <w:u w:val="none"/>
          <w:lang w:val="en-US" w:eastAsia="zh-CN" w:bidi="ar"/>
        </w:rPr>
        <w:t>加长期护理保险</w:t>
      </w:r>
      <w:r>
        <w:rPr>
          <w:rFonts w:hint="eastAsia" w:ascii="仿宋_GB2312" w:hAnsi="仿宋_GB2312" w:eastAsia="仿宋_GB2312" w:cs="仿宋_GB2312"/>
          <w:snapToGrid/>
          <w:color w:val="auto"/>
          <w:kern w:val="2"/>
          <w:sz w:val="32"/>
          <w:szCs w:val="32"/>
          <w:u w:val="none"/>
          <w:lang w:val="en-US" w:eastAsia="zh-CN" w:bidi="ar"/>
        </w:rPr>
        <w:t>的个人</w:t>
      </w:r>
      <w:r>
        <w:rPr>
          <w:rFonts w:hint="eastAsia" w:ascii="仿宋_GB2312" w:hAnsi="仿宋_GB2312" w:cs="仿宋_GB2312"/>
          <w:snapToGrid/>
          <w:color w:val="auto"/>
          <w:kern w:val="2"/>
          <w:sz w:val="32"/>
          <w:szCs w:val="32"/>
          <w:u w:val="none"/>
          <w:lang w:val="en-US" w:eastAsia="zh-CN" w:bidi="ar"/>
        </w:rPr>
        <w:t>缴费</w:t>
      </w:r>
      <w:r>
        <w:rPr>
          <w:rFonts w:hint="eastAsia" w:ascii="仿宋_GB2312" w:hAnsi="仿宋_GB2312" w:eastAsia="仿宋_GB2312" w:cs="仿宋_GB2312"/>
          <w:snapToGrid/>
          <w:color w:val="auto"/>
          <w:kern w:val="2"/>
          <w:sz w:val="32"/>
          <w:szCs w:val="32"/>
          <w:u w:val="none"/>
          <w:lang w:val="en-US" w:eastAsia="zh-CN" w:bidi="ar"/>
        </w:rPr>
        <w:t>。</w:t>
      </w:r>
      <w:r>
        <w:rPr>
          <w:rFonts w:hint="eastAsia" w:ascii="仿宋_GB2312" w:hAnsi="仿宋_GB2312" w:cs="仿宋_GB2312"/>
          <w:snapToGrid/>
          <w:color w:val="auto"/>
          <w:kern w:val="2"/>
          <w:sz w:val="32"/>
          <w:szCs w:val="32"/>
          <w:u w:val="none"/>
          <w:lang w:val="en-US" w:eastAsia="zh-CN" w:bidi="ar"/>
        </w:rPr>
        <w:t>单位职工、退休人员个人缴费部分可从职工基本医疗保险个人账户中代扣代缴。有条件的统筹地区，退休人员个人缴费部分也可由发放基本养老金的社会保障经办机构代扣代缴。税务部门做好保费征收工作，长期护理保险与基本医疗保险共同缴费。</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cs="仿宋_GB2312"/>
          <w:snapToGrid/>
          <w:color w:val="0000FF"/>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6.资助参保政策。</w:t>
      </w:r>
      <w:r>
        <w:rPr>
          <w:rFonts w:hint="eastAsia" w:ascii="仿宋_GB2312" w:hAnsi="仿宋_GB2312" w:eastAsia="仿宋_GB2312" w:cs="仿宋_GB2312"/>
          <w:snapToGrid/>
          <w:color w:val="auto"/>
          <w:kern w:val="2"/>
          <w:sz w:val="32"/>
          <w:szCs w:val="32"/>
          <w:u w:val="none"/>
          <w:lang w:val="en-US" w:eastAsia="zh-CN" w:bidi="ar"/>
        </w:rPr>
        <w:t>政府分类资助符合条件的困难群众个人缴费部分</w:t>
      </w:r>
      <w:r>
        <w:rPr>
          <w:rFonts w:hint="eastAsia" w:cs="仿宋_GB2312"/>
          <w:snapToGrid/>
          <w:color w:val="auto"/>
          <w:kern w:val="2"/>
          <w:sz w:val="32"/>
          <w:szCs w:val="32"/>
          <w:u w:val="none"/>
          <w:lang w:val="en-US" w:eastAsia="zh-CN" w:bidi="ar"/>
        </w:rPr>
        <w:t>，全额资助特困人员，定额资助低保对象、符合条件的防止返贫致贫对象。具体资助办法由省医保局会同省财政厅等部门，按照国家规定并根据我省实际另行制定。</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7.激励约束机制。</w:t>
      </w:r>
      <w:r>
        <w:rPr>
          <w:rFonts w:hint="eastAsia" w:ascii="仿宋_GB2312" w:hAnsi="仿宋_GB2312" w:eastAsia="仿宋_GB2312" w:cs="仿宋_GB2312"/>
          <w:snapToGrid/>
          <w:color w:val="auto"/>
          <w:kern w:val="2"/>
          <w:sz w:val="32"/>
          <w:szCs w:val="32"/>
          <w:u w:val="none"/>
          <w:lang w:val="en-US" w:eastAsia="zh-CN" w:bidi="ar"/>
        </w:rPr>
        <w:t>探索建立参保诚信机制</w:t>
      </w:r>
      <w:r>
        <w:rPr>
          <w:rFonts w:hint="eastAsia" w:ascii="仿宋_GB2312" w:hAnsi="仿宋_GB2312" w:cs="仿宋_GB2312"/>
          <w:snapToGrid/>
          <w:color w:val="auto"/>
          <w:kern w:val="2"/>
          <w:sz w:val="32"/>
          <w:szCs w:val="32"/>
          <w:u w:val="none"/>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建立</w:t>
      </w:r>
      <w:r>
        <w:rPr>
          <w:rFonts w:hint="eastAsia" w:ascii="仿宋_GB2312" w:hAnsi="仿宋_GB2312" w:cs="仿宋_GB2312"/>
          <w:snapToGrid/>
          <w:color w:val="auto"/>
          <w:kern w:val="2"/>
          <w:sz w:val="32"/>
          <w:szCs w:val="32"/>
          <w:u w:val="none"/>
          <w:lang w:val="en-US" w:eastAsia="zh-CN" w:bidi="ar"/>
        </w:rPr>
        <w:t>健全</w:t>
      </w:r>
      <w:r>
        <w:rPr>
          <w:rFonts w:hint="eastAsia" w:ascii="仿宋_GB2312" w:hAnsi="仿宋_GB2312" w:eastAsia="仿宋_GB2312" w:cs="仿宋_GB2312"/>
          <w:snapToGrid/>
          <w:color w:val="auto"/>
          <w:kern w:val="2"/>
          <w:sz w:val="32"/>
          <w:szCs w:val="32"/>
          <w:u w:val="none"/>
          <w:lang w:val="en-US" w:eastAsia="zh-CN" w:bidi="ar"/>
        </w:rPr>
        <w:t>缴费时长与待遇水平挂钩的连续参保激励约束机制，对连续参加长期护理保险的未就业城乡居民适当提高支付比例；除新生儿等特殊群体外，对未在制度启动时初次参保、未连续参保的，设置待遇享受等待期、阶段性调低待遇水平等约束性措施。待遇享受固定等待期不少于6个月，并随断保年限的增加相应延长等待期。具体办法由省医保局会同省财政厅制定。</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hAnsi="仿宋_GB2312" w:cs="仿宋_GB2312"/>
          <w:color w:val="auto"/>
          <w:sz w:val="32"/>
          <w:szCs w:val="32"/>
          <w:u w:val="none"/>
          <w:lang w:val="en-US" w:eastAsia="zh-CN"/>
        </w:rPr>
      </w:pPr>
      <w:r>
        <w:rPr>
          <w:rFonts w:hint="eastAsia" w:ascii="楷体_GB2312" w:hAnsi="楷体_GB2312" w:eastAsia="楷体_GB2312" w:cs="楷体_GB2312"/>
          <w:color w:val="auto"/>
          <w:kern w:val="0"/>
          <w:sz w:val="32"/>
          <w:szCs w:val="32"/>
          <w:u w:val="none"/>
          <w:lang w:val="en-US" w:eastAsia="zh-CN" w:bidi="ar-SA"/>
        </w:rPr>
        <w:t xml:space="preserve">（二）建立统一适度的待遇保障机制 </w:t>
      </w:r>
      <w:r>
        <w:rPr>
          <w:rFonts w:hint="eastAsia" w:ascii="楷体_GB2312" w:hAnsi="楷体_GB2312" w:eastAsia="楷体_GB2312" w:cs="楷体_GB2312"/>
          <w:color w:val="auto"/>
          <w:sz w:val="32"/>
          <w:szCs w:val="32"/>
          <w:u w:val="none"/>
          <w:lang w:val="en-US" w:eastAsia="zh-CN"/>
        </w:rPr>
        <w:t xml:space="preserve">   </w:t>
      </w:r>
      <w:r>
        <w:rPr>
          <w:rFonts w:hint="eastAsia" w:ascii="仿宋_GB2312" w:hAnsi="仿宋_GB2312" w:cs="仿宋_GB2312"/>
          <w:snapToGrid/>
          <w:color w:val="auto"/>
          <w:kern w:val="2"/>
          <w:sz w:val="32"/>
          <w:szCs w:val="32"/>
          <w:u w:val="none"/>
          <w:lang w:val="en-US" w:eastAsia="zh-CN" w:bidi="ar"/>
        </w:rPr>
        <w:t xml:space="preserve">                     </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hAnsi="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8.保障对象条件。</w:t>
      </w:r>
      <w:r>
        <w:rPr>
          <w:rFonts w:hint="eastAsia" w:ascii="仿宋_GB2312" w:hAnsi="仿宋_GB2312" w:eastAsia="仿宋_GB2312" w:cs="仿宋_GB2312"/>
          <w:snapToGrid/>
          <w:color w:val="auto"/>
          <w:kern w:val="2"/>
          <w:sz w:val="32"/>
          <w:szCs w:val="32"/>
          <w:u w:val="none"/>
          <w:lang w:val="en-US" w:eastAsia="zh-CN" w:bidi="ar"/>
        </w:rPr>
        <w:t>按规定参加长期护理保险且失能状态持续6个月以上，经申请并通过定点评估机构评估认定的</w:t>
      </w:r>
      <w:r>
        <w:rPr>
          <w:rFonts w:hint="eastAsia" w:cs="仿宋_GB2312"/>
          <w:snapToGrid/>
          <w:color w:val="auto"/>
          <w:kern w:val="2"/>
          <w:sz w:val="32"/>
          <w:szCs w:val="32"/>
          <w:u w:val="none"/>
          <w:lang w:val="en-US" w:eastAsia="zh-CN" w:bidi="ar"/>
        </w:rPr>
        <w:t>重度</w:t>
      </w:r>
      <w:r>
        <w:rPr>
          <w:rFonts w:hint="eastAsia" w:ascii="仿宋_GB2312" w:hAnsi="仿宋_GB2312" w:eastAsia="仿宋_GB2312" w:cs="仿宋_GB2312"/>
          <w:snapToGrid/>
          <w:color w:val="auto"/>
          <w:kern w:val="2"/>
          <w:sz w:val="32"/>
          <w:szCs w:val="32"/>
          <w:u w:val="none"/>
          <w:lang w:val="en-US" w:eastAsia="zh-CN" w:bidi="ar"/>
        </w:rPr>
        <w:t>失能人员，可享受相关待遇</w:t>
      </w:r>
      <w:r>
        <w:rPr>
          <w:rFonts w:hint="eastAsia" w:cs="仿宋_GB2312"/>
          <w:snapToGrid/>
          <w:color w:val="auto"/>
          <w:kern w:val="2"/>
          <w:sz w:val="32"/>
          <w:szCs w:val="32"/>
          <w:u w:val="none"/>
          <w:lang w:val="en-US" w:eastAsia="zh-CN" w:bidi="ar"/>
        </w:rPr>
        <w:t>。随经济社会发展和国家统一部署</w:t>
      </w:r>
      <w:r>
        <w:rPr>
          <w:rFonts w:hint="eastAsia" w:ascii="仿宋_GB2312" w:hAnsi="仿宋_GB2312" w:eastAsia="仿宋_GB2312" w:cs="仿宋_GB2312"/>
          <w:snapToGrid/>
          <w:color w:val="auto"/>
          <w:kern w:val="2"/>
          <w:sz w:val="32"/>
          <w:szCs w:val="32"/>
          <w:u w:val="none"/>
          <w:lang w:val="en-US" w:eastAsia="zh-CN" w:bidi="ar"/>
        </w:rPr>
        <w:t>，逐步扩大保障对象范围</w:t>
      </w:r>
      <w:r>
        <w:rPr>
          <w:rFonts w:hint="eastAsia" w:cs="仿宋_GB2312"/>
          <w:snapToGrid/>
          <w:color w:val="auto"/>
          <w:kern w:val="2"/>
          <w:sz w:val="32"/>
          <w:szCs w:val="32"/>
          <w:u w:val="none"/>
          <w:lang w:val="en-US" w:eastAsia="zh-CN" w:bidi="ar"/>
        </w:rPr>
        <w:t>。</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hAnsi="仿宋_GB2312" w:cs="仿宋_GB2312"/>
          <w:snapToGrid/>
          <w:color w:val="0000FF"/>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9.基金支付范围。</w:t>
      </w:r>
      <w:r>
        <w:rPr>
          <w:rFonts w:hint="eastAsia" w:ascii="仿宋_GB2312" w:hAnsi="仿宋_GB2312" w:eastAsia="仿宋_GB2312" w:cs="仿宋_GB2312"/>
          <w:snapToGrid/>
          <w:color w:val="auto"/>
          <w:kern w:val="2"/>
          <w:sz w:val="32"/>
          <w:szCs w:val="32"/>
          <w:u w:val="none"/>
          <w:lang w:val="en-US" w:eastAsia="zh-CN" w:bidi="ar"/>
        </w:rPr>
        <w:t>长期护理保险基金主要用于支付符合规定的长期护理服务机构和人员提供长期护理基本服务所发生的费用。</w:t>
      </w:r>
      <w:r>
        <w:rPr>
          <w:rFonts w:hint="eastAsia" w:cs="仿宋_GB2312"/>
          <w:snapToGrid/>
          <w:color w:val="auto"/>
          <w:kern w:val="2"/>
          <w:sz w:val="32"/>
          <w:szCs w:val="32"/>
          <w:u w:val="none"/>
          <w:lang w:val="en-US" w:eastAsia="zh-CN" w:bidi="ar"/>
        </w:rPr>
        <w:t>支付范围为《国家长期护理保险服务项目目录（试行）》规定的生活照护类、医疗护理类项目基本服务费用，以及失能等级评估服务、委托经办服务费用等必要费用</w:t>
      </w:r>
      <w:r>
        <w:rPr>
          <w:rFonts w:hint="eastAsia" w:ascii="仿宋_GB2312" w:hAnsi="仿宋_GB2312" w:eastAsia="仿宋_GB2312" w:cs="仿宋_GB2312"/>
          <w:snapToGrid/>
          <w:color w:val="auto"/>
          <w:kern w:val="2"/>
          <w:sz w:val="32"/>
          <w:szCs w:val="32"/>
          <w:u w:val="none"/>
          <w:lang w:val="en-US" w:eastAsia="zh-CN" w:bidi="ar"/>
        </w:rPr>
        <w:t>，</w:t>
      </w:r>
      <w:r>
        <w:rPr>
          <w:rFonts w:hint="eastAsia" w:ascii="仿宋_GB2312" w:hAnsi="仿宋_GB2312" w:eastAsia="仿宋_GB2312" w:cs="仿宋_GB2312"/>
          <w:snapToGrid/>
          <w:color w:val="000000"/>
          <w:kern w:val="2"/>
          <w:sz w:val="32"/>
          <w:szCs w:val="32"/>
          <w:u w:val="none"/>
          <w:lang w:val="en-US" w:eastAsia="zh-CN" w:bidi="ar"/>
        </w:rPr>
        <w:t>原则上不直接向失能人员发放现金。</w:t>
      </w:r>
      <w:r>
        <w:rPr>
          <w:rFonts w:hint="eastAsia" w:cs="仿宋_GB2312"/>
          <w:snapToGrid/>
          <w:color w:val="auto"/>
          <w:kern w:val="2"/>
          <w:sz w:val="32"/>
          <w:szCs w:val="32"/>
          <w:u w:val="none"/>
          <w:lang w:val="en-US" w:eastAsia="zh-CN" w:bidi="ar"/>
        </w:rPr>
        <w:t>根据国家统一部署</w:t>
      </w:r>
      <w:r>
        <w:rPr>
          <w:rFonts w:hint="eastAsia" w:cs="仿宋_GB2312"/>
          <w:snapToGrid/>
          <w:color w:val="0000FF"/>
          <w:kern w:val="2"/>
          <w:sz w:val="32"/>
          <w:szCs w:val="32"/>
          <w:u w:val="none"/>
          <w:lang w:val="en-US" w:eastAsia="zh-CN" w:bidi="ar"/>
        </w:rPr>
        <w:t>，</w:t>
      </w:r>
      <w:r>
        <w:rPr>
          <w:rFonts w:hint="eastAsia" w:cs="仿宋_GB2312"/>
          <w:snapToGrid/>
          <w:color w:val="auto"/>
          <w:kern w:val="2"/>
          <w:sz w:val="32"/>
          <w:szCs w:val="32"/>
          <w:u w:val="none"/>
          <w:lang w:val="en-US" w:eastAsia="zh-CN" w:bidi="ar"/>
        </w:rPr>
        <w:t>研究探索将长期护理</w:t>
      </w:r>
      <w:r>
        <w:rPr>
          <w:rFonts w:hint="eastAsia" w:ascii="Calibri" w:hAnsi="Calibri" w:cs="仿宋_GB2312"/>
          <w:snapToGrid/>
          <w:color w:val="auto"/>
          <w:kern w:val="2"/>
          <w:sz w:val="32"/>
          <w:szCs w:val="32"/>
          <w:u w:val="none"/>
          <w:lang w:val="en-US" w:eastAsia="zh-CN" w:bidi="ar"/>
        </w:rPr>
        <w:t>相关智能化服务和支持性辅助器具等纳入支付范围。</w:t>
      </w:r>
      <w:r>
        <w:rPr>
          <w:rFonts w:hint="eastAsia" w:ascii="仿宋_GB2312" w:hAnsi="仿宋_GB2312" w:eastAsia="仿宋_GB2312" w:cs="仿宋_GB2312"/>
          <w:snapToGrid/>
          <w:color w:val="000000"/>
          <w:kern w:val="2"/>
          <w:sz w:val="32"/>
          <w:szCs w:val="32"/>
          <w:u w:val="none"/>
          <w:lang w:val="en-US" w:eastAsia="zh-CN" w:bidi="ar"/>
        </w:rPr>
        <w:t>长期护理保险基金不支付机构床位费、膳食费等非护理费用，以及应由医疗保险基金支付的医疗费用。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10.待遇保障标准。</w:t>
      </w:r>
      <w:r>
        <w:rPr>
          <w:rFonts w:hint="eastAsia" w:ascii="仿宋_GB2312" w:hAnsi="仿宋_GB2312" w:eastAsia="仿宋_GB2312" w:cs="仿宋_GB2312"/>
          <w:snapToGrid/>
          <w:color w:val="auto"/>
          <w:kern w:val="2"/>
          <w:sz w:val="32"/>
          <w:szCs w:val="32"/>
          <w:u w:val="none"/>
          <w:lang w:val="en-US" w:eastAsia="zh-CN" w:bidi="ar"/>
        </w:rPr>
        <w:t>根据失能等级、服务提供方式等实行差别化待遇保障政策。待遇享受不设起付标准</w:t>
      </w:r>
      <w:r>
        <w:rPr>
          <w:rFonts w:hint="eastAsia" w:ascii="Calibri" w:hAnsi="Calibri" w:cs="仿宋_GB2312"/>
          <w:snapToGrid/>
          <w:color w:val="auto"/>
          <w:kern w:val="2"/>
          <w:sz w:val="32"/>
          <w:szCs w:val="32"/>
          <w:u w:val="none"/>
          <w:lang w:val="en-US" w:eastAsia="zh-CN" w:bidi="ar"/>
        </w:rPr>
        <w:t>。符合规定的长期护理保险费用，</w:t>
      </w:r>
      <w:r>
        <w:rPr>
          <w:rFonts w:hint="eastAsia" w:ascii="仿宋_GB2312" w:hAnsi="仿宋_GB2312" w:eastAsia="仿宋_GB2312" w:cs="仿宋_GB2312"/>
          <w:snapToGrid/>
          <w:color w:val="auto"/>
          <w:kern w:val="2"/>
          <w:sz w:val="32"/>
          <w:szCs w:val="32"/>
          <w:u w:val="none"/>
          <w:lang w:val="en-US" w:eastAsia="zh-CN" w:bidi="ar"/>
        </w:rPr>
        <w:t>年度基金最高支付限额不超过统筹地区上年度城乡居民人均可支配收入的50%</w:t>
      </w:r>
      <w:r>
        <w:rPr>
          <w:rFonts w:hint="eastAsia" w:ascii="Calibri" w:hAnsi="Calibri" w:cs="仿宋_GB2312"/>
          <w:snapToGrid/>
          <w:color w:val="auto"/>
          <w:kern w:val="2"/>
          <w:sz w:val="32"/>
          <w:szCs w:val="32"/>
          <w:u w:val="none"/>
          <w:lang w:val="en-US" w:eastAsia="zh-CN" w:bidi="ar"/>
        </w:rPr>
        <w:t>，</w:t>
      </w:r>
      <w:r>
        <w:rPr>
          <w:rFonts w:hint="eastAsia" w:ascii="仿宋_GB2312" w:hAnsi="仿宋_GB2312" w:cs="仿宋_GB2312"/>
          <w:snapToGrid/>
          <w:color w:val="auto"/>
          <w:kern w:val="2"/>
          <w:sz w:val="32"/>
          <w:szCs w:val="32"/>
          <w:u w:val="none"/>
          <w:lang w:val="en-US" w:eastAsia="zh-CN" w:bidi="ar"/>
        </w:rPr>
        <w:t>具体由统筹地区根据筹资实际确定。</w:t>
      </w:r>
      <w:r>
        <w:rPr>
          <w:rFonts w:hint="eastAsia" w:cs="仿宋_GB2312"/>
          <w:snapToGrid/>
          <w:color w:val="auto"/>
          <w:kern w:val="2"/>
          <w:sz w:val="32"/>
          <w:szCs w:val="32"/>
          <w:u w:val="none"/>
          <w:lang w:val="en-US" w:eastAsia="zh-CN" w:bidi="ar"/>
        </w:rPr>
        <w:t>按单位职工（含退休人员）参保的，</w:t>
      </w:r>
      <w:r>
        <w:rPr>
          <w:rFonts w:hint="eastAsia" w:ascii="仿宋_GB2312" w:hAnsi="仿宋_GB2312" w:eastAsia="仿宋_GB2312" w:cs="仿宋_GB2312"/>
          <w:snapToGrid/>
          <w:color w:val="auto"/>
          <w:kern w:val="2"/>
          <w:sz w:val="32"/>
          <w:szCs w:val="32"/>
          <w:u w:val="none"/>
          <w:lang w:val="en-US" w:eastAsia="zh-CN" w:bidi="ar"/>
        </w:rPr>
        <w:t>基金支付比例70%左右；按城乡居民参保的，基金支付比例50%左右；灵活就业人员依据选择的参保政策类型享受相应待遇；</w:t>
      </w:r>
      <w:r>
        <w:rPr>
          <w:rFonts w:hint="eastAsia" w:ascii="仿宋_GB2312" w:hAnsi="仿宋_GB2312" w:cs="仿宋_GB2312"/>
          <w:snapToGrid/>
          <w:color w:val="auto"/>
          <w:kern w:val="2"/>
          <w:sz w:val="32"/>
          <w:szCs w:val="32"/>
          <w:u w:val="none"/>
          <w:lang w:val="en-US" w:eastAsia="zh-CN" w:bidi="ar"/>
        </w:rPr>
        <w:t>符合待遇享受条件的18周岁以下未就业人员，按未就业城乡居民待遇标准享受待遇。</w:t>
      </w:r>
      <w:r>
        <w:rPr>
          <w:rFonts w:hint="eastAsia" w:ascii="仿宋_GB2312" w:hAnsi="仿宋_GB2312" w:eastAsia="仿宋_GB2312" w:cs="仿宋_GB2312"/>
          <w:snapToGrid/>
          <w:color w:val="auto"/>
          <w:kern w:val="2"/>
          <w:sz w:val="32"/>
          <w:szCs w:val="32"/>
          <w:u w:val="none"/>
          <w:lang w:val="en-US" w:eastAsia="zh-CN" w:bidi="ar"/>
        </w:rPr>
        <w:t>鼓励使用居家和社区护理服务，在支付比例上给予适当倾斜。</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hAnsi="仿宋_GB2312" w:cs="仿宋_GB2312"/>
          <w:snapToGrid/>
          <w:color w:val="0000FF"/>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11.政策待遇衔接</w:t>
      </w:r>
      <w:r>
        <w:rPr>
          <w:rFonts w:hint="eastAsia" w:ascii="仿宋_GB2312" w:hAnsi="仿宋_GB2312" w:cs="仿宋_GB2312"/>
          <w:snapToGrid/>
          <w:color w:val="auto"/>
          <w:kern w:val="2"/>
          <w:sz w:val="32"/>
          <w:szCs w:val="32"/>
          <w:u w:val="none"/>
          <w:lang w:val="en-US" w:eastAsia="zh-CN" w:bidi="ar"/>
        </w:rPr>
        <w:t>。按照国家统一部署，</w:t>
      </w:r>
      <w:r>
        <w:rPr>
          <w:rFonts w:hint="eastAsia" w:ascii="仿宋_GB2312" w:hAnsi="仿宋_GB2312" w:eastAsia="仿宋_GB2312" w:cs="仿宋_GB2312"/>
          <w:snapToGrid/>
          <w:color w:val="auto"/>
          <w:kern w:val="2"/>
          <w:sz w:val="32"/>
          <w:szCs w:val="32"/>
          <w:u w:val="none"/>
          <w:lang w:val="en-US" w:eastAsia="zh-CN" w:bidi="ar"/>
        </w:rPr>
        <w:t>做好长期护理保险与经济困难的高龄、失能老年人补贴以及重度残疾人护理补贴等政策的衔接。领取工伤保险生活护理费的参保人员，不重复享受长期护理保险相关服务待遇。</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（三）建立科学规范的失能评估机制</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Calibri" w:hAnsi="Calibri"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12.严格等级评估。</w:t>
      </w:r>
      <w:r>
        <w:rPr>
          <w:rFonts w:hint="eastAsia" w:ascii="仿宋_GB2312" w:hAnsi="仿宋_GB2312" w:eastAsia="仿宋_GB2312" w:cs="仿宋_GB2312"/>
          <w:snapToGrid/>
          <w:color w:val="auto"/>
          <w:kern w:val="2"/>
          <w:sz w:val="32"/>
          <w:szCs w:val="32"/>
          <w:u w:val="none"/>
          <w:lang w:val="en-US" w:eastAsia="zh-CN" w:bidi="ar"/>
        </w:rPr>
        <w:t>长期护理失能等级评估机构实行定点协议管理。</w:t>
      </w:r>
      <w:r>
        <w:rPr>
          <w:rFonts w:hint="eastAsia" w:ascii="Calibri" w:hAnsi="Calibri" w:cs="仿宋_GB2312"/>
          <w:snapToGrid/>
          <w:color w:val="auto"/>
          <w:kern w:val="2"/>
          <w:sz w:val="32"/>
          <w:szCs w:val="32"/>
          <w:u w:val="none"/>
          <w:lang w:val="en-US" w:eastAsia="zh-CN" w:bidi="ar"/>
        </w:rPr>
        <w:t>各</w:t>
      </w:r>
      <w:r>
        <w:rPr>
          <w:rFonts w:hint="eastAsia" w:cs="仿宋_GB2312"/>
          <w:snapToGrid/>
          <w:color w:val="auto"/>
          <w:kern w:val="2"/>
          <w:sz w:val="32"/>
          <w:szCs w:val="32"/>
          <w:u w:val="none"/>
          <w:lang w:val="en-US" w:eastAsia="zh-CN" w:bidi="ar"/>
        </w:rPr>
        <w:t>统筹地区要严格执行国家统一制定的长期护理保险失能等级评估标准和操作指南，评估结果全省互认，并按国家部署适时</w:t>
      </w:r>
      <w:r>
        <w:rPr>
          <w:rFonts w:hint="eastAsia" w:ascii="Calibri" w:hAnsi="Calibri" w:cs="仿宋_GB2312"/>
          <w:snapToGrid/>
          <w:color w:val="auto"/>
          <w:kern w:val="2"/>
          <w:sz w:val="32"/>
          <w:szCs w:val="32"/>
          <w:u w:val="none"/>
          <w:lang w:val="en-US" w:eastAsia="zh-CN" w:bidi="ar"/>
        </w:rPr>
        <w:t>推进全国范围内互认，相关部门按需使用。</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13.规范过程管理。</w:t>
      </w:r>
      <w:r>
        <w:rPr>
          <w:rFonts w:hint="eastAsia" w:ascii="仿宋_GB2312" w:hAnsi="仿宋_GB2312" w:eastAsia="仿宋_GB2312" w:cs="仿宋_GB2312"/>
          <w:snapToGrid/>
          <w:color w:val="auto"/>
          <w:kern w:val="2"/>
          <w:sz w:val="32"/>
          <w:szCs w:val="32"/>
          <w:u w:val="none"/>
          <w:lang w:val="en-US" w:eastAsia="zh-CN" w:bidi="ar"/>
        </w:rPr>
        <w:t>鼓励支持社会力量发展独立的专业评估机构，</w:t>
      </w:r>
      <w:r>
        <w:rPr>
          <w:rFonts w:hint="eastAsia" w:cs="仿宋_GB2312"/>
          <w:snapToGrid/>
          <w:color w:val="auto"/>
          <w:kern w:val="2"/>
          <w:sz w:val="32"/>
          <w:szCs w:val="32"/>
          <w:u w:val="none"/>
          <w:lang w:val="en-US" w:eastAsia="zh-CN" w:bidi="ar"/>
        </w:rPr>
        <w:t>暂不具备条件的，可依托医疗机构、劳动能力鉴定机构、商业保险公司等实施评估。探索发挥家庭医生、养老服务师在失能等级评估和服务计划制定中的作用。</w:t>
      </w:r>
      <w:r>
        <w:rPr>
          <w:rFonts w:hint="eastAsia" w:ascii="仿宋_GB2312" w:hAnsi="仿宋_GB2312" w:eastAsia="仿宋_GB2312" w:cs="仿宋_GB2312"/>
          <w:sz w:val="32"/>
          <w:szCs w:val="32"/>
          <w:u w:val="none"/>
          <w:lang w:val="en-US" w:eastAsia="zh-CN"/>
        </w:rPr>
        <w:t>建立健全评估人员规范化培训机制和评估专家培训考核监督机制</w:t>
      </w:r>
      <w:r>
        <w:rPr>
          <w:rFonts w:hint="eastAsia" w:ascii="仿宋_GB2312" w:hAnsi="仿宋_GB2312" w:cs="仿宋_GB2312"/>
          <w:sz w:val="32"/>
          <w:szCs w:val="32"/>
          <w:u w:val="none"/>
          <w:lang w:val="en-US"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14.明确费用管理。</w:t>
      </w:r>
      <w:r>
        <w:rPr>
          <w:rFonts w:hint="eastAsia" w:cs="仿宋_GB2312"/>
          <w:snapToGrid/>
          <w:color w:val="auto"/>
          <w:kern w:val="2"/>
          <w:sz w:val="32"/>
          <w:szCs w:val="32"/>
          <w:u w:val="none"/>
          <w:lang w:val="en-US" w:eastAsia="zh-CN" w:bidi="ar"/>
        </w:rPr>
        <w:t>失能评估服务费用由长期护理保险基金和个人共同分担，统筹地区综合考虑评估结果等因素，明确评估服务费由基金和个人合理分担的具体情形，避免随意过度使用评估申请权。原则上参保人首次评估通过及按制度要求参加定期复评的评估服务费由基金支付。</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（四）建立专业优质的护理服务机制</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cs="仿宋_GB2312"/>
          <w:snapToGrid/>
          <w:color w:val="auto"/>
          <w:kern w:val="2"/>
          <w:sz w:val="32"/>
          <w:szCs w:val="32"/>
          <w:u w:val="none"/>
          <w:lang w:val="en-US" w:eastAsia="zh-CN" w:bidi="ar"/>
        </w:rPr>
      </w:pPr>
      <w:r>
        <w:rPr>
          <w:rFonts w:hint="eastAsia" w:ascii="楷体_GB2312" w:hAnsi="楷体_GB2312" w:eastAsia="楷体_GB2312" w:cs="楷体_GB2312"/>
          <w:snapToGrid/>
          <w:color w:val="auto"/>
          <w:kern w:val="0"/>
          <w:sz w:val="32"/>
          <w:szCs w:val="32"/>
          <w:u w:val="none"/>
          <w:lang w:val="en-US" w:eastAsia="zh-CN" w:bidi="ar-SA"/>
        </w:rPr>
        <w:t>15.加强机构管理。</w:t>
      </w:r>
      <w:r>
        <w:rPr>
          <w:rFonts w:hint="eastAsia" w:ascii="仿宋_GB2312" w:hAnsi="仿宋_GB2312" w:eastAsia="仿宋_GB2312" w:cs="仿宋_GB2312"/>
          <w:snapToGrid/>
          <w:color w:val="auto"/>
          <w:kern w:val="2"/>
          <w:sz w:val="32"/>
          <w:szCs w:val="32"/>
          <w:u w:val="none"/>
          <w:lang w:val="en-US" w:eastAsia="zh-CN" w:bidi="ar"/>
        </w:rPr>
        <w:t>长期护理服务机构实行定点协议管理，</w:t>
      </w:r>
      <w:r>
        <w:rPr>
          <w:rFonts w:hint="eastAsia" w:ascii="Times New Roman" w:hAnsi="Times New Roman" w:eastAsia="仿宋_GB2312" w:cs="仿宋_GB2312"/>
          <w:snapToGrid/>
          <w:color w:val="auto"/>
          <w:kern w:val="2"/>
          <w:sz w:val="32"/>
          <w:szCs w:val="32"/>
          <w:u w:val="none"/>
          <w:lang w:val="en-US" w:eastAsia="zh-CN" w:bidi="ar"/>
        </w:rPr>
        <w:t>根据人口结构和机构分布等因素，科学确定居家护理、社区护理、机构护理定点服务机构数量，加强服务提供、基金使用、信息化支撑等方面的规范化管理。支持基层医疗卫生机构、养老服务机构等提供长期护理服务，</w:t>
      </w:r>
      <w:r>
        <w:rPr>
          <w:rFonts w:hint="eastAsia" w:cs="仿宋_GB2312"/>
          <w:snapToGrid/>
          <w:color w:val="auto"/>
          <w:kern w:val="2"/>
          <w:sz w:val="32"/>
          <w:szCs w:val="32"/>
          <w:u w:val="none"/>
          <w:lang w:val="en-US" w:eastAsia="zh-CN" w:bidi="ar"/>
        </w:rPr>
        <w:t>符合条件的按规定纳入定点机构范围。承担长期护理服务的机构，不得同时承担失能等级评估工作。</w:t>
      </w:r>
    </w:p>
    <w:p>
      <w:pPr>
        <w:pStyle w:val="5"/>
        <w:keepNext w:val="0"/>
        <w:keepLines w:val="0"/>
        <w:pageBreakBefore w:val="0"/>
        <w:widowControl/>
        <w:kinsoku/>
        <w:wordWrap/>
        <w:overflowPunct/>
        <w:topLinePunct w:val="0"/>
        <w:autoSpaceDE/>
        <w:autoSpaceDN/>
        <w:bidi w:val="0"/>
        <w:spacing w:line="580" w:lineRule="exact"/>
        <w:ind w:left="0" w:firstLine="640"/>
        <w:textAlignment w:val="auto"/>
        <w:rPr>
          <w:rFonts w:hint="eastAsia" w:ascii="仿宋_GB2312" w:hAnsi="仿宋_GB2312" w:cs="仿宋_GB2312"/>
          <w:sz w:val="32"/>
          <w:szCs w:val="32"/>
          <w:u w:val="none"/>
          <w:lang w:val="en-US" w:eastAsia="zh-CN"/>
        </w:rPr>
      </w:pPr>
      <w:r>
        <w:rPr>
          <w:rFonts w:hint="eastAsia" w:ascii="楷体_GB2312" w:hAnsi="楷体_GB2312" w:eastAsia="楷体_GB2312" w:cs="楷体_GB2312"/>
          <w:snapToGrid/>
          <w:color w:val="auto"/>
          <w:kern w:val="0"/>
          <w:sz w:val="32"/>
          <w:szCs w:val="32"/>
          <w:u w:val="none"/>
          <w:lang w:val="en-US" w:eastAsia="zh-CN" w:bidi="ar-SA"/>
        </w:rPr>
        <w:t>16.提升服务能力。</w:t>
      </w:r>
      <w:r>
        <w:rPr>
          <w:rFonts w:hint="eastAsia" w:ascii="Calibri" w:hAnsi="Calibri" w:cs="仿宋_GB2312"/>
          <w:snapToGrid/>
          <w:color w:val="auto"/>
          <w:kern w:val="2"/>
          <w:sz w:val="32"/>
          <w:szCs w:val="32"/>
          <w:u w:val="none"/>
          <w:lang w:val="en-US" w:eastAsia="zh-CN" w:bidi="ar"/>
        </w:rPr>
        <w:t>鼓励具备条件的社会力量参与长期</w:t>
      </w:r>
      <w:r>
        <w:rPr>
          <w:rFonts w:hint="eastAsia" w:ascii="仿宋_GB2312" w:hAnsi="仿宋_GB2312" w:eastAsia="仿宋_GB2312" w:cs="仿宋_GB2312"/>
          <w:snapToGrid/>
          <w:color w:val="auto"/>
          <w:kern w:val="2"/>
          <w:sz w:val="32"/>
          <w:szCs w:val="32"/>
          <w:u w:val="none"/>
          <w:lang w:val="en-US" w:eastAsia="zh-CN" w:bidi="ar"/>
        </w:rPr>
        <w:t>照护师</w:t>
      </w:r>
      <w:r>
        <w:rPr>
          <w:rFonts w:hint="eastAsia" w:ascii="仿宋_GB2312" w:hAnsi="仿宋_GB2312" w:cs="仿宋_GB2312"/>
          <w:snapToGrid/>
          <w:color w:val="auto"/>
          <w:kern w:val="2"/>
          <w:sz w:val="32"/>
          <w:szCs w:val="32"/>
          <w:u w:val="none"/>
          <w:lang w:val="en-US" w:eastAsia="zh-CN" w:bidi="ar"/>
        </w:rPr>
        <w:t>和</w:t>
      </w:r>
      <w:r>
        <w:rPr>
          <w:rFonts w:hint="eastAsia" w:ascii="仿宋_GB2312" w:hAnsi="仿宋_GB2312" w:eastAsia="仿宋_GB2312" w:cs="仿宋_GB2312"/>
          <w:snapToGrid/>
          <w:color w:val="auto"/>
          <w:kern w:val="2"/>
          <w:sz w:val="32"/>
          <w:szCs w:val="32"/>
          <w:u w:val="none"/>
          <w:lang w:val="en-US" w:eastAsia="zh-CN" w:bidi="ar"/>
        </w:rPr>
        <w:t>评估人员</w:t>
      </w:r>
      <w:r>
        <w:rPr>
          <w:rFonts w:hint="eastAsia" w:ascii="仿宋_GB2312" w:hAnsi="仿宋_GB2312" w:cs="仿宋_GB2312"/>
          <w:snapToGrid/>
          <w:color w:val="auto"/>
          <w:kern w:val="2"/>
          <w:sz w:val="32"/>
          <w:szCs w:val="32"/>
          <w:u w:val="none"/>
          <w:lang w:val="en-US" w:eastAsia="zh-CN" w:bidi="ar"/>
        </w:rPr>
        <w:t>的</w:t>
      </w:r>
      <w:r>
        <w:rPr>
          <w:rFonts w:hint="eastAsia" w:ascii="Calibri" w:hAnsi="Calibri" w:cs="仿宋_GB2312"/>
          <w:snapToGrid/>
          <w:color w:val="auto"/>
          <w:kern w:val="2"/>
          <w:sz w:val="32"/>
          <w:szCs w:val="32"/>
          <w:u w:val="none"/>
          <w:lang w:val="en-US" w:eastAsia="zh-CN" w:bidi="ar"/>
        </w:rPr>
        <w:t>培训，</w:t>
      </w:r>
      <w:r>
        <w:rPr>
          <w:rFonts w:hint="eastAsia" w:ascii="仿宋_GB2312" w:hAnsi="仿宋_GB2312" w:eastAsia="仿宋_GB2312" w:cs="仿宋_GB2312"/>
          <w:sz w:val="32"/>
          <w:szCs w:val="32"/>
          <w:u w:val="none"/>
          <w:lang w:val="en-US" w:eastAsia="zh-CN"/>
        </w:rPr>
        <w:t>引导普通高校、职业院校（含技工院校）增设长期照护师相关专业</w:t>
      </w:r>
      <w:r>
        <w:rPr>
          <w:rFonts w:hint="eastAsia" w:ascii="仿宋_GB2312" w:hAnsi="仿宋_GB2312" w:cs="仿宋_GB2312"/>
          <w:sz w:val="32"/>
          <w:szCs w:val="32"/>
          <w:u w:val="none"/>
          <w:lang w:val="en-US" w:eastAsia="zh-CN"/>
        </w:rPr>
        <w:t>，推动长期照护师队伍专业化、规范化管理。建立长期护理保险服务质控体系，规范和培育长期护理保险服务市场，撬动护理产业发展。</w:t>
      </w:r>
    </w:p>
    <w:p>
      <w:pPr>
        <w:pStyle w:val="5"/>
        <w:keepNext w:val="0"/>
        <w:keepLines w:val="0"/>
        <w:pageBreakBefore w:val="0"/>
        <w:widowControl/>
        <w:kinsoku/>
        <w:wordWrap/>
        <w:overflowPunct/>
        <w:topLinePunct w:val="0"/>
        <w:autoSpaceDE/>
        <w:autoSpaceDN/>
        <w:bidi w:val="0"/>
        <w:spacing w:line="580" w:lineRule="exact"/>
        <w:ind w:left="0" w:firstLine="640"/>
        <w:textAlignment w:val="auto"/>
        <w:rPr>
          <w:rFonts w:hint="default" w:ascii="仿宋_GB2312" w:hAnsi="仿宋_GB2312" w:cs="仿宋_GB2312"/>
          <w:snapToGrid/>
          <w:color w:val="auto"/>
          <w:kern w:val="2"/>
          <w:sz w:val="32"/>
          <w:szCs w:val="32"/>
          <w:u w:val="none"/>
          <w:lang w:val="en-US" w:eastAsia="zh-CN" w:bidi="ar"/>
        </w:rPr>
      </w:pPr>
      <w:r>
        <w:rPr>
          <w:rFonts w:hint="eastAsia" w:ascii="楷体_GB2312" w:hAnsi="楷体_GB2312" w:eastAsia="楷体_GB2312" w:cs="楷体_GB2312"/>
          <w:snapToGrid/>
          <w:color w:val="auto"/>
          <w:kern w:val="0"/>
          <w:sz w:val="32"/>
          <w:szCs w:val="32"/>
          <w:u w:val="none"/>
          <w:lang w:val="en-US" w:eastAsia="zh-CN" w:bidi="ar-SA"/>
        </w:rPr>
        <w:t>17.规范支付管理。</w:t>
      </w:r>
      <w:r>
        <w:rPr>
          <w:rFonts w:hint="eastAsia" w:cs="仿宋_GB2312"/>
          <w:snapToGrid/>
          <w:color w:val="auto"/>
          <w:kern w:val="2"/>
          <w:sz w:val="32"/>
          <w:szCs w:val="32"/>
          <w:u w:val="none"/>
          <w:lang w:val="en-US" w:eastAsia="zh-CN" w:bidi="ar"/>
        </w:rPr>
        <w:t>在国家指导下，</w:t>
      </w:r>
      <w:r>
        <w:rPr>
          <w:rFonts w:hint="eastAsia" w:ascii="Times New Roman" w:hAnsi="Times New Roman" w:eastAsia="仿宋_GB2312" w:cs="仿宋_GB2312"/>
          <w:snapToGrid/>
          <w:color w:val="auto"/>
          <w:kern w:val="2"/>
          <w:sz w:val="32"/>
          <w:szCs w:val="32"/>
          <w:u w:val="none"/>
          <w:lang w:val="en-US" w:eastAsia="zh-CN" w:bidi="ar"/>
        </w:rPr>
        <w:t>建立符合长期护理保险特点</w:t>
      </w:r>
      <w:r>
        <w:rPr>
          <w:rFonts w:hint="eastAsia" w:cs="仿宋_GB2312"/>
          <w:snapToGrid/>
          <w:color w:val="auto"/>
          <w:kern w:val="2"/>
          <w:sz w:val="32"/>
          <w:szCs w:val="32"/>
          <w:u w:val="none"/>
          <w:lang w:val="en-US" w:eastAsia="zh-CN" w:bidi="ar"/>
        </w:rPr>
        <w:t>的</w:t>
      </w:r>
      <w:r>
        <w:rPr>
          <w:rFonts w:hint="eastAsia" w:ascii="Times New Roman" w:hAnsi="Times New Roman" w:eastAsia="仿宋_GB2312" w:cs="仿宋_GB2312"/>
          <w:snapToGrid/>
          <w:color w:val="auto"/>
          <w:kern w:val="2"/>
          <w:sz w:val="32"/>
          <w:szCs w:val="32"/>
          <w:u w:val="none"/>
          <w:lang w:val="en-US" w:eastAsia="zh-CN" w:bidi="ar"/>
        </w:rPr>
        <w:t>支付</w:t>
      </w:r>
      <w:r>
        <w:rPr>
          <w:rFonts w:hint="eastAsia" w:cs="仿宋_GB2312"/>
          <w:snapToGrid/>
          <w:color w:val="auto"/>
          <w:kern w:val="2"/>
          <w:sz w:val="32"/>
          <w:szCs w:val="32"/>
          <w:u w:val="none"/>
          <w:lang w:val="en-US" w:eastAsia="zh-CN" w:bidi="ar"/>
        </w:rPr>
        <w:t>机制及协商谈判机制，针对不同服务</w:t>
      </w:r>
      <w:r>
        <w:rPr>
          <w:rFonts w:hint="eastAsia" w:ascii="Times New Roman" w:hAnsi="Times New Roman" w:eastAsia="仿宋_GB2312" w:cs="仿宋_GB2312"/>
          <w:snapToGrid/>
          <w:color w:val="auto"/>
          <w:kern w:val="2"/>
          <w:sz w:val="32"/>
          <w:szCs w:val="32"/>
          <w:u w:val="none"/>
          <w:lang w:val="en-US" w:eastAsia="zh-CN" w:bidi="ar"/>
        </w:rPr>
        <w:t>模式</w:t>
      </w:r>
      <w:r>
        <w:rPr>
          <w:rFonts w:hint="eastAsia" w:cs="仿宋_GB2312"/>
          <w:snapToGrid/>
          <w:color w:val="auto"/>
          <w:kern w:val="2"/>
          <w:sz w:val="32"/>
          <w:szCs w:val="32"/>
          <w:u w:val="none"/>
          <w:lang w:val="en-US" w:eastAsia="zh-CN" w:bidi="ar"/>
        </w:rPr>
        <w:t>，完善支付方式。</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（五）建立高效安全的基金监管机制</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kern w:val="0"/>
          <w:sz w:val="32"/>
          <w:szCs w:val="32"/>
          <w:u w:val="none"/>
          <w:lang w:val="en-US" w:eastAsia="zh-CN" w:bidi="ar-SA"/>
        </w:rPr>
        <w:t>18.加强基金收支管理。</w:t>
      </w:r>
      <w:r>
        <w:rPr>
          <w:rFonts w:hint="eastAsia" w:ascii="仿宋_GB2312" w:hAnsi="仿宋_GB2312" w:eastAsia="仿宋_GB2312" w:cs="仿宋_GB2312"/>
          <w:snapToGrid/>
          <w:color w:val="auto"/>
          <w:kern w:val="2"/>
          <w:sz w:val="32"/>
          <w:szCs w:val="32"/>
          <w:u w:val="none"/>
          <w:lang w:val="en-US" w:eastAsia="zh-CN" w:bidi="ar"/>
        </w:rPr>
        <w:t>长期护理保险基金纳入社会保障基金财政专户，单独建账、单独核算、专款专用</w:t>
      </w:r>
      <w:r>
        <w:rPr>
          <w:rFonts w:hint="eastAsia" w:ascii="仿宋_GB2312" w:hAnsi="仿宋" w:eastAsia="仿宋_GB2312"/>
          <w:color w:val="auto"/>
          <w:sz w:val="32"/>
          <w:szCs w:val="32"/>
          <w:u w:val="none"/>
        </w:rPr>
        <w:t>，</w:t>
      </w:r>
      <w:r>
        <w:rPr>
          <w:rFonts w:hint="eastAsia" w:ascii="仿宋_GB2312" w:hAnsi="仿宋_GB2312" w:eastAsia="仿宋_GB2312" w:cs="仿宋_GB2312"/>
          <w:snapToGrid/>
          <w:color w:val="auto"/>
          <w:kern w:val="2"/>
          <w:sz w:val="32"/>
          <w:szCs w:val="32"/>
          <w:u w:val="none"/>
          <w:lang w:val="en-US" w:eastAsia="zh-CN" w:bidi="ar"/>
        </w:rPr>
        <w:t>坚持以收定支、收支平衡的原则</w:t>
      </w:r>
      <w:r>
        <w:rPr>
          <w:rFonts w:hint="eastAsia" w:ascii="仿宋_GB2312" w:hAnsi="仿宋_GB2312" w:cs="仿宋_GB2312"/>
          <w:snapToGrid/>
          <w:color w:val="auto"/>
          <w:kern w:val="2"/>
          <w:sz w:val="32"/>
          <w:szCs w:val="32"/>
          <w:u w:val="none"/>
          <w:lang w:val="en-US" w:eastAsia="zh-CN" w:bidi="ar"/>
        </w:rPr>
        <w:t>，</w:t>
      </w:r>
      <w:r>
        <w:rPr>
          <w:rFonts w:hint="eastAsia" w:ascii="仿宋_GB2312" w:hAnsi="仿宋" w:eastAsia="仿宋_GB2312"/>
          <w:color w:val="auto"/>
          <w:sz w:val="32"/>
          <w:szCs w:val="32"/>
          <w:u w:val="none"/>
        </w:rPr>
        <w:t>实行收支两条线管理</w:t>
      </w:r>
      <w:r>
        <w:rPr>
          <w:rFonts w:hint="eastAsia" w:ascii="仿宋_GB2312" w:hAnsi="仿宋"/>
          <w:color w:val="auto"/>
          <w:sz w:val="32"/>
          <w:szCs w:val="32"/>
          <w:u w:val="none"/>
          <w:lang w:eastAsia="zh-CN"/>
        </w:rPr>
        <w:t>。</w:t>
      </w:r>
      <w:r>
        <w:rPr>
          <w:rFonts w:hint="eastAsia" w:ascii="仿宋_GB2312" w:hAnsi="仿宋" w:eastAsia="仿宋_GB2312"/>
          <w:color w:val="auto"/>
          <w:sz w:val="32"/>
          <w:szCs w:val="32"/>
          <w:u w:val="none"/>
          <w:lang w:val="en-US" w:eastAsia="zh-CN"/>
        </w:rPr>
        <w:t>不得将基金交由经办长期护理保险的第三方机构代管代拨。统筹地</w:t>
      </w:r>
      <w:r>
        <w:rPr>
          <w:rFonts w:hint="eastAsia" w:ascii="Times New Roman" w:hAnsi="Times New Roman" w:eastAsia="仿宋_GB2312" w:cs="仿宋_GB2312"/>
          <w:snapToGrid/>
          <w:color w:val="auto"/>
          <w:kern w:val="2"/>
          <w:sz w:val="32"/>
          <w:szCs w:val="32"/>
          <w:u w:val="none"/>
          <w:lang w:val="en-US" w:eastAsia="zh-CN" w:bidi="ar"/>
        </w:rPr>
        <w:t>区</w:t>
      </w:r>
      <w:r>
        <w:rPr>
          <w:rFonts w:hint="eastAsia" w:ascii="Times New Roman" w:hAnsi="Times New Roman" w:cs="仿宋_GB2312"/>
          <w:snapToGrid/>
          <w:color w:val="auto"/>
          <w:kern w:val="2"/>
          <w:sz w:val="32"/>
          <w:szCs w:val="32"/>
          <w:u w:val="none"/>
          <w:lang w:val="en-US" w:eastAsia="zh-CN" w:bidi="ar"/>
        </w:rPr>
        <w:t>科学</w:t>
      </w:r>
      <w:r>
        <w:rPr>
          <w:rFonts w:hint="eastAsia" w:ascii="Times New Roman" w:hAnsi="Times New Roman" w:eastAsia="仿宋_GB2312" w:cs="仿宋_GB2312"/>
          <w:snapToGrid/>
          <w:color w:val="auto"/>
          <w:kern w:val="2"/>
          <w:sz w:val="32"/>
          <w:szCs w:val="32"/>
          <w:u w:val="none"/>
          <w:lang w:val="en-US" w:eastAsia="zh-CN" w:bidi="ar"/>
        </w:rPr>
        <w:t>编制</w:t>
      </w:r>
      <w:r>
        <w:rPr>
          <w:rFonts w:hint="eastAsia" w:ascii="Times New Roman" w:hAnsi="Times New Roman" w:cs="仿宋_GB2312"/>
          <w:snapToGrid/>
          <w:color w:val="auto"/>
          <w:kern w:val="2"/>
          <w:sz w:val="32"/>
          <w:szCs w:val="32"/>
          <w:u w:val="none"/>
          <w:lang w:val="en-US" w:eastAsia="zh-CN" w:bidi="ar"/>
        </w:rPr>
        <w:t>长期护理保险基金</w:t>
      </w:r>
      <w:r>
        <w:rPr>
          <w:rFonts w:hint="eastAsia" w:ascii="Times New Roman" w:hAnsi="Times New Roman" w:eastAsia="仿宋_GB2312" w:cs="仿宋_GB2312"/>
          <w:snapToGrid/>
          <w:color w:val="auto"/>
          <w:kern w:val="2"/>
          <w:sz w:val="32"/>
          <w:szCs w:val="32"/>
          <w:u w:val="none"/>
          <w:lang w:val="en-US" w:eastAsia="zh-CN" w:bidi="ar"/>
        </w:rPr>
        <w:t>预决算</w:t>
      </w:r>
      <w:r>
        <w:rPr>
          <w:rFonts w:hint="eastAsia" w:ascii="Times New Roman" w:hAnsi="Times New Roman" w:cs="仿宋_GB2312"/>
          <w:snapToGrid/>
          <w:color w:val="auto"/>
          <w:kern w:val="2"/>
          <w:sz w:val="32"/>
          <w:szCs w:val="32"/>
          <w:u w:val="none"/>
          <w:lang w:val="en-US" w:eastAsia="zh-CN" w:bidi="ar"/>
        </w:rPr>
        <w:t>草案</w:t>
      </w:r>
      <w:r>
        <w:rPr>
          <w:rFonts w:hint="eastAsia" w:ascii="Times New Roman" w:hAnsi="Times New Roman" w:eastAsia="仿宋_GB2312" w:cs="仿宋_GB2312"/>
          <w:snapToGrid/>
          <w:color w:val="auto"/>
          <w:kern w:val="2"/>
          <w:sz w:val="32"/>
          <w:szCs w:val="32"/>
          <w:u w:val="none"/>
          <w:lang w:val="en-US" w:eastAsia="zh-CN" w:bidi="ar"/>
        </w:rPr>
        <w:t>，</w:t>
      </w:r>
      <w:r>
        <w:rPr>
          <w:rFonts w:hint="eastAsia" w:ascii="Times New Roman" w:hAnsi="Times New Roman" w:cs="仿宋_GB2312"/>
          <w:snapToGrid/>
          <w:color w:val="auto"/>
          <w:kern w:val="2"/>
          <w:sz w:val="32"/>
          <w:szCs w:val="32"/>
          <w:u w:val="none"/>
          <w:lang w:val="en-US" w:eastAsia="zh-CN" w:bidi="ar"/>
        </w:rPr>
        <w:t>严格执行基金财</w:t>
      </w:r>
      <w:r>
        <w:rPr>
          <w:rFonts w:hint="eastAsia" w:ascii="仿宋_GB2312" w:hAnsi="仿宋_GB2312" w:eastAsia="仿宋_GB2312" w:cs="仿宋_GB2312"/>
          <w:snapToGrid/>
          <w:color w:val="auto"/>
          <w:kern w:val="2"/>
          <w:sz w:val="32"/>
          <w:szCs w:val="32"/>
          <w:u w:val="none"/>
          <w:lang w:val="en-US" w:eastAsia="zh-CN" w:bidi="ar"/>
        </w:rPr>
        <w:t>务管理</w:t>
      </w:r>
      <w:r>
        <w:rPr>
          <w:rFonts w:hint="eastAsia" w:ascii="仿宋_GB2312" w:hAnsi="仿宋_GB2312" w:cs="仿宋_GB2312"/>
          <w:snapToGrid/>
          <w:color w:val="auto"/>
          <w:kern w:val="2"/>
          <w:sz w:val="32"/>
          <w:szCs w:val="32"/>
          <w:u w:val="none"/>
          <w:lang w:val="en-US" w:eastAsia="zh-CN" w:bidi="ar"/>
        </w:rPr>
        <w:t>制度，加强基金财务管理、会计核算、统计分析</w:t>
      </w:r>
      <w:r>
        <w:rPr>
          <w:rFonts w:hint="eastAsia" w:ascii="仿宋_GB2312" w:hAnsi="仿宋_GB2312" w:eastAsia="仿宋_GB2312" w:cs="仿宋_GB2312"/>
          <w:snapToGrid/>
          <w:color w:val="auto"/>
          <w:kern w:val="2"/>
          <w:sz w:val="32"/>
          <w:szCs w:val="32"/>
          <w:u w:val="none"/>
          <w:lang w:val="en-US" w:eastAsia="zh-CN" w:bidi="ar"/>
        </w:rPr>
        <w:t>和审计监督，提升预算绩效管理水平</w:t>
      </w:r>
      <w:r>
        <w:rPr>
          <w:rFonts w:hint="eastAsia" w:ascii="Times New Roman" w:hAnsi="Times New Roman" w:eastAsia="仿宋_GB2312" w:cs="仿宋_GB2312"/>
          <w:snapToGrid/>
          <w:color w:val="auto"/>
          <w:kern w:val="2"/>
          <w:sz w:val="32"/>
          <w:szCs w:val="32"/>
          <w:u w:val="none"/>
          <w:lang w:val="en-US" w:eastAsia="zh-CN" w:bidi="ar"/>
        </w:rPr>
        <w:t>。</w:t>
      </w:r>
      <w:r>
        <w:rPr>
          <w:rFonts w:hint="eastAsia" w:cs="仿宋_GB2312"/>
          <w:snapToGrid/>
          <w:color w:val="auto"/>
          <w:kern w:val="2"/>
          <w:sz w:val="32"/>
          <w:szCs w:val="32"/>
          <w:u w:val="none"/>
          <w:lang w:val="en-US" w:eastAsia="zh-CN" w:bidi="ar"/>
        </w:rPr>
        <w:t>加强</w:t>
      </w:r>
      <w:r>
        <w:rPr>
          <w:rFonts w:hint="eastAsia" w:ascii="仿宋_GB2312" w:hAnsi="仿宋_GB2312" w:eastAsia="仿宋_GB2312" w:cs="仿宋_GB2312"/>
          <w:snapToGrid/>
          <w:color w:val="auto"/>
          <w:kern w:val="2"/>
          <w:sz w:val="32"/>
          <w:szCs w:val="32"/>
          <w:u w:val="none"/>
          <w:lang w:val="en-US" w:eastAsia="zh-CN" w:bidi="ar"/>
        </w:rPr>
        <w:t>基金运行监控和风险防范，做好中长期精算分析</w:t>
      </w:r>
      <w:r>
        <w:rPr>
          <w:rFonts w:hint="eastAsia" w:cs="仿宋_GB2312"/>
          <w:snapToGrid/>
          <w:color w:val="auto"/>
          <w:kern w:val="2"/>
          <w:sz w:val="32"/>
          <w:szCs w:val="32"/>
          <w:u w:val="none"/>
          <w:lang w:val="en-US" w:eastAsia="zh-CN" w:bidi="ar"/>
        </w:rPr>
        <w:t>，</w:t>
      </w:r>
      <w:r>
        <w:rPr>
          <w:rFonts w:hint="eastAsia" w:ascii="Times New Roman" w:hAnsi="Times New Roman" w:eastAsia="仿宋_GB2312" w:cs="仿宋_GB2312"/>
          <w:snapToGrid/>
          <w:color w:val="auto"/>
          <w:kern w:val="2"/>
          <w:sz w:val="32"/>
          <w:szCs w:val="32"/>
          <w:u w:val="none"/>
          <w:lang w:val="en-US" w:eastAsia="zh-CN" w:bidi="ar"/>
        </w:rPr>
        <w:t>确保基金安全</w:t>
      </w:r>
      <w:r>
        <w:rPr>
          <w:rFonts w:hint="eastAsia" w:cs="仿宋_GB2312"/>
          <w:snapToGrid/>
          <w:color w:val="auto"/>
          <w:kern w:val="2"/>
          <w:sz w:val="32"/>
          <w:szCs w:val="32"/>
          <w:u w:val="none"/>
          <w:lang w:val="en-US" w:eastAsia="zh-CN" w:bidi="ar"/>
        </w:rPr>
        <w:t>规范和可持续</w:t>
      </w:r>
      <w:r>
        <w:rPr>
          <w:rFonts w:hint="eastAsia" w:ascii="Times New Roman" w:hAnsi="Times New Roman" w:eastAsia="仿宋_GB2312" w:cs="仿宋_GB2312"/>
          <w:snapToGrid/>
          <w:color w:val="auto"/>
          <w:kern w:val="2"/>
          <w:sz w:val="32"/>
          <w:szCs w:val="32"/>
          <w:u w:val="none"/>
          <w:lang w:val="en-US" w:eastAsia="zh-CN" w:bidi="ar"/>
        </w:rPr>
        <w:t>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snapToGrid/>
          <w:color w:val="auto"/>
          <w:kern w:val="2"/>
          <w:sz w:val="32"/>
          <w:szCs w:val="32"/>
          <w:u w:val="none"/>
          <w:lang w:val="en-US" w:eastAsia="zh-CN" w:bidi="ar"/>
        </w:rPr>
      </w:pPr>
      <w:r>
        <w:rPr>
          <w:rFonts w:hint="eastAsia" w:ascii="楷体_GB2312" w:hAnsi="楷体_GB2312" w:eastAsia="楷体_GB2312" w:cs="楷体_GB2312"/>
          <w:color w:val="auto"/>
          <w:kern w:val="0"/>
          <w:sz w:val="32"/>
          <w:szCs w:val="32"/>
          <w:u w:val="none"/>
          <w:lang w:val="en-US" w:eastAsia="zh-CN" w:bidi="ar-SA"/>
        </w:rPr>
        <w:t>19.强化基金日常监管。</w:t>
      </w:r>
      <w:r>
        <w:rPr>
          <w:rFonts w:hint="eastAsia" w:ascii="Times New Roman" w:hAnsi="Times New Roman" w:eastAsia="仿宋_GB2312" w:cs="仿宋_GB2312"/>
          <w:snapToGrid/>
          <w:color w:val="auto"/>
          <w:kern w:val="2"/>
          <w:sz w:val="32"/>
          <w:szCs w:val="32"/>
          <w:u w:val="none"/>
          <w:lang w:val="en-US" w:eastAsia="zh-CN" w:bidi="ar"/>
        </w:rPr>
        <w:t>加强长期护理保险基金使用常态化监督管理，</w:t>
      </w:r>
      <w:r>
        <w:rPr>
          <w:rFonts w:hint="eastAsia" w:cs="仿宋_GB2312"/>
          <w:snapToGrid/>
          <w:color w:val="auto"/>
          <w:kern w:val="2"/>
          <w:sz w:val="32"/>
          <w:szCs w:val="32"/>
          <w:u w:val="none"/>
          <w:lang w:val="en-US" w:eastAsia="zh-CN" w:bidi="ar"/>
        </w:rPr>
        <w:t>纳入日常监管</w:t>
      </w:r>
      <w:r>
        <w:rPr>
          <w:rFonts w:hint="eastAsia" w:ascii="Times New Roman" w:hAnsi="Times New Roman" w:eastAsia="仿宋_GB2312" w:cs="仿宋_GB2312"/>
          <w:snapToGrid/>
          <w:color w:val="auto"/>
          <w:kern w:val="2"/>
          <w:sz w:val="32"/>
          <w:szCs w:val="32"/>
          <w:u w:val="none"/>
          <w:lang w:val="en-US" w:eastAsia="zh-CN" w:bidi="ar"/>
        </w:rPr>
        <w:t>、</w:t>
      </w:r>
      <w:r>
        <w:rPr>
          <w:rFonts w:hint="eastAsia" w:cs="仿宋_GB2312"/>
          <w:snapToGrid/>
          <w:color w:val="auto"/>
          <w:kern w:val="2"/>
          <w:sz w:val="32"/>
          <w:szCs w:val="32"/>
          <w:u w:val="none"/>
          <w:lang w:val="en-US" w:eastAsia="zh-CN" w:bidi="ar"/>
        </w:rPr>
        <w:t>飞行检查、</w:t>
      </w:r>
      <w:r>
        <w:rPr>
          <w:rFonts w:hint="eastAsia" w:ascii="Times New Roman" w:hAnsi="Times New Roman" w:eastAsia="仿宋_GB2312" w:cs="仿宋_GB2312"/>
          <w:snapToGrid/>
          <w:color w:val="auto"/>
          <w:kern w:val="2"/>
          <w:sz w:val="32"/>
          <w:szCs w:val="32"/>
          <w:u w:val="none"/>
          <w:lang w:val="en-US" w:eastAsia="zh-CN" w:bidi="ar"/>
        </w:rPr>
        <w:t>智能监</w:t>
      </w:r>
      <w:r>
        <w:rPr>
          <w:rFonts w:hint="eastAsia" w:cs="仿宋_GB2312"/>
          <w:snapToGrid/>
          <w:color w:val="auto"/>
          <w:kern w:val="2"/>
          <w:sz w:val="32"/>
          <w:szCs w:val="32"/>
          <w:u w:val="none"/>
          <w:lang w:val="en-US" w:eastAsia="zh-CN" w:bidi="ar"/>
        </w:rPr>
        <w:t>管</w:t>
      </w:r>
      <w:r>
        <w:rPr>
          <w:rFonts w:hint="eastAsia" w:ascii="Times New Roman" w:hAnsi="Times New Roman" w:eastAsia="仿宋_GB2312" w:cs="仿宋_GB2312"/>
          <w:snapToGrid/>
          <w:color w:val="auto"/>
          <w:kern w:val="2"/>
          <w:sz w:val="32"/>
          <w:szCs w:val="32"/>
          <w:u w:val="none"/>
          <w:lang w:val="en-US" w:eastAsia="zh-CN" w:bidi="ar"/>
        </w:rPr>
        <w:t>、</w:t>
      </w:r>
      <w:r>
        <w:rPr>
          <w:rFonts w:hint="eastAsia" w:cs="仿宋_GB2312"/>
          <w:snapToGrid/>
          <w:color w:val="auto"/>
          <w:kern w:val="2"/>
          <w:sz w:val="32"/>
          <w:szCs w:val="32"/>
          <w:u w:val="none"/>
          <w:lang w:val="en-US" w:eastAsia="zh-CN" w:bidi="ar"/>
        </w:rPr>
        <w:t>社会监督等范围，</w:t>
      </w:r>
      <w:r>
        <w:rPr>
          <w:rFonts w:hint="eastAsia" w:ascii="仿宋_GB2312" w:hAnsi="仿宋_GB2312" w:eastAsia="仿宋_GB2312" w:cs="仿宋_GB2312"/>
          <w:snapToGrid/>
          <w:color w:val="auto"/>
          <w:kern w:val="2"/>
          <w:sz w:val="32"/>
          <w:szCs w:val="32"/>
          <w:u w:val="none"/>
          <w:lang w:val="en-US" w:eastAsia="zh-CN" w:bidi="ar"/>
        </w:rPr>
        <w:t>完善对欺诈骗保人员、机构惩戒机制。</w:t>
      </w:r>
      <w:r>
        <w:rPr>
          <w:rFonts w:hint="eastAsia" w:ascii="Times New Roman" w:hAnsi="Times New Roman" w:eastAsia="仿宋_GB2312" w:cs="仿宋_GB2312"/>
          <w:snapToGrid/>
          <w:color w:val="auto"/>
          <w:kern w:val="2"/>
          <w:sz w:val="32"/>
          <w:szCs w:val="32"/>
          <w:u w:val="none"/>
          <w:lang w:val="en-US" w:eastAsia="zh-CN" w:bidi="ar"/>
        </w:rPr>
        <w:t>建立健全重要线索、重大案件多部门联查联办和追责问责机制，</w:t>
      </w:r>
      <w:r>
        <w:rPr>
          <w:rFonts w:hint="eastAsia" w:cs="仿宋_GB2312"/>
          <w:snapToGrid/>
          <w:color w:val="auto"/>
          <w:kern w:val="2"/>
          <w:sz w:val="32"/>
          <w:szCs w:val="32"/>
          <w:u w:val="none"/>
          <w:lang w:val="en-US" w:eastAsia="zh-CN" w:bidi="ar"/>
        </w:rPr>
        <w:t>守住基金安全底线</w:t>
      </w:r>
      <w:r>
        <w:rPr>
          <w:rFonts w:hint="eastAsia" w:ascii="Times New Roman" w:hAnsi="Times New Roman" w:eastAsia="仿宋_GB2312" w:cs="仿宋_GB2312"/>
          <w:snapToGrid/>
          <w:color w:val="auto"/>
          <w:kern w:val="2"/>
          <w:sz w:val="32"/>
          <w:szCs w:val="32"/>
          <w:u w:val="none"/>
          <w:lang w:val="en-US" w:eastAsia="zh-CN" w:bidi="ar"/>
        </w:rPr>
        <w:t>，保障参保人员合法权益。</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（六）建立保障有力的经办服务机制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napToGrid/>
          <w:color w:val="auto"/>
          <w:kern w:val="2"/>
          <w:sz w:val="32"/>
          <w:szCs w:val="32"/>
          <w:u w:val="none"/>
          <w:lang w:val="en-US" w:eastAsia="zh-CN" w:bidi="ar"/>
        </w:rPr>
      </w:pPr>
      <w:r>
        <w:rPr>
          <w:rFonts w:hint="eastAsia" w:ascii="楷体_GB2312" w:hAnsi="楷体_GB2312" w:eastAsia="楷体_GB2312" w:cs="楷体_GB2312"/>
          <w:snapToGrid/>
          <w:color w:val="auto"/>
          <w:kern w:val="0"/>
          <w:sz w:val="32"/>
          <w:szCs w:val="32"/>
          <w:u w:val="none"/>
          <w:lang w:val="en-US" w:eastAsia="zh-CN" w:bidi="ar-SA"/>
        </w:rPr>
        <w:t>20.完善经办管理机制。</w:t>
      </w:r>
      <w:r>
        <w:rPr>
          <w:rFonts w:hint="eastAsia" w:ascii="仿宋_GB2312" w:hAnsi="仿宋_GB2312" w:cs="仿宋_GB2312"/>
          <w:b w:val="0"/>
          <w:bCs w:val="0"/>
          <w:snapToGrid/>
          <w:color w:val="auto"/>
          <w:kern w:val="2"/>
          <w:sz w:val="32"/>
          <w:szCs w:val="32"/>
          <w:u w:val="none"/>
          <w:lang w:val="en-US" w:eastAsia="zh-CN" w:bidi="ar-SA"/>
        </w:rPr>
        <w:t>有条件的</w:t>
      </w:r>
      <w:r>
        <w:rPr>
          <w:rFonts w:hint="eastAsia" w:ascii="Times New Roman" w:hAnsi="Times New Roman" w:eastAsia="仿宋_GB2312" w:cs="仿宋_GB2312"/>
          <w:snapToGrid/>
          <w:color w:val="auto"/>
          <w:kern w:val="2"/>
          <w:sz w:val="32"/>
          <w:szCs w:val="32"/>
          <w:u w:val="none"/>
          <w:lang w:val="en-US" w:eastAsia="zh-CN" w:bidi="ar"/>
        </w:rPr>
        <w:t>统筹</w:t>
      </w:r>
      <w:r>
        <w:rPr>
          <w:rFonts w:hint="eastAsia" w:cs="仿宋_GB2312"/>
          <w:snapToGrid/>
          <w:color w:val="auto"/>
          <w:kern w:val="2"/>
          <w:sz w:val="32"/>
          <w:szCs w:val="32"/>
          <w:u w:val="none"/>
          <w:lang w:val="en-US" w:eastAsia="zh-CN" w:bidi="ar"/>
        </w:rPr>
        <w:t>地</w:t>
      </w:r>
      <w:r>
        <w:rPr>
          <w:rFonts w:hint="eastAsia" w:ascii="仿宋_GB2312" w:hAnsi="仿宋_GB2312" w:cs="仿宋_GB2312"/>
          <w:b w:val="0"/>
          <w:bCs w:val="0"/>
          <w:snapToGrid/>
          <w:color w:val="auto"/>
          <w:kern w:val="2"/>
          <w:sz w:val="32"/>
          <w:szCs w:val="32"/>
          <w:u w:val="none"/>
          <w:lang w:val="en-US" w:eastAsia="zh-CN" w:bidi="ar-SA"/>
        </w:rPr>
        <w:t>区应通</w:t>
      </w:r>
      <w:r>
        <w:rPr>
          <w:rFonts w:hint="eastAsia" w:ascii="Times New Roman" w:hAnsi="Times New Roman" w:eastAsia="仿宋_GB2312" w:cs="仿宋_GB2312"/>
          <w:snapToGrid/>
          <w:color w:val="auto"/>
          <w:kern w:val="2"/>
          <w:sz w:val="32"/>
          <w:szCs w:val="32"/>
          <w:u w:val="none"/>
          <w:lang w:val="en-US" w:eastAsia="zh-CN" w:bidi="ar"/>
        </w:rPr>
        <w:t>过公开招标等竞争性方式，有序规范引入社会力量参与经办管理</w:t>
      </w:r>
      <w:r>
        <w:rPr>
          <w:rFonts w:hint="eastAsia" w:cs="仿宋_GB2312"/>
          <w:snapToGrid/>
          <w:color w:val="auto"/>
          <w:kern w:val="2"/>
          <w:sz w:val="32"/>
          <w:szCs w:val="32"/>
          <w:u w:val="none"/>
          <w:lang w:val="en-US" w:eastAsia="zh-CN" w:bidi="ar"/>
        </w:rPr>
        <w:t>服务，</w:t>
      </w:r>
      <w:r>
        <w:rPr>
          <w:rFonts w:hint="eastAsia" w:ascii="Times New Roman" w:hAnsi="Times New Roman" w:eastAsia="仿宋_GB2312" w:cs="仿宋_GB2312"/>
          <w:snapToGrid/>
          <w:color w:val="auto"/>
          <w:kern w:val="2"/>
          <w:sz w:val="32"/>
          <w:szCs w:val="32"/>
          <w:u w:val="none"/>
          <w:lang w:val="en-US" w:eastAsia="zh-CN" w:bidi="ar"/>
        </w:rPr>
        <w:t>相关费用依协议约定按比例或按定额从基金中支付。</w:t>
      </w:r>
    </w:p>
    <w:p>
      <w:pPr>
        <w:pStyle w:val="5"/>
        <w:keepNext w:val="0"/>
        <w:keepLines w:val="0"/>
        <w:pageBreakBefore w:val="0"/>
        <w:kinsoku/>
        <w:wordWrap/>
        <w:overflowPunct/>
        <w:topLinePunct w:val="0"/>
        <w:autoSpaceDE/>
        <w:autoSpaceDN/>
        <w:bidi w:val="0"/>
        <w:spacing w:line="580" w:lineRule="exact"/>
        <w:textAlignment w:val="auto"/>
        <w:rPr>
          <w:rFonts w:hint="eastAsia" w:ascii="Times New Roman" w:hAnsi="Times New Roman" w:eastAsia="仿宋_GB2312" w:cs="仿宋_GB2312"/>
          <w:snapToGrid/>
          <w:color w:val="auto"/>
          <w:kern w:val="2"/>
          <w:sz w:val="32"/>
          <w:szCs w:val="32"/>
          <w:u w:val="none"/>
          <w:lang w:val="en-US" w:eastAsia="zh-CN" w:bidi="ar"/>
        </w:rPr>
      </w:pPr>
      <w:r>
        <w:rPr>
          <w:rFonts w:hint="eastAsia" w:ascii="楷体_GB2312" w:hAnsi="楷体_GB2312" w:eastAsia="楷体_GB2312" w:cs="楷体_GB2312"/>
          <w:snapToGrid/>
          <w:color w:val="auto"/>
          <w:kern w:val="0"/>
          <w:sz w:val="32"/>
          <w:szCs w:val="32"/>
          <w:u w:val="none"/>
          <w:lang w:val="en-US" w:eastAsia="zh-CN" w:bidi="ar-SA"/>
        </w:rPr>
        <w:t>21.提升经办服务能力。</w:t>
      </w:r>
      <w:r>
        <w:rPr>
          <w:rFonts w:hint="eastAsia" w:ascii="仿宋_GB2312" w:hAnsi="仿宋_GB2312" w:eastAsia="仿宋_GB2312" w:cs="仿宋_GB2312"/>
          <w:snapToGrid/>
          <w:color w:val="auto"/>
          <w:kern w:val="2"/>
          <w:sz w:val="32"/>
          <w:szCs w:val="32"/>
          <w:u w:val="none"/>
          <w:lang w:val="en-US" w:eastAsia="zh-CN" w:bidi="ar"/>
        </w:rPr>
        <w:t>强化全国统一的医保信息平台长期护理保险子系统应用</w:t>
      </w:r>
      <w:r>
        <w:rPr>
          <w:rFonts w:hint="eastAsia" w:ascii="仿宋_GB2312" w:hAnsi="仿宋_GB2312" w:eastAsia="仿宋_GB2312" w:cs="仿宋_GB2312"/>
          <w:b w:val="0"/>
          <w:bCs w:val="0"/>
          <w:snapToGrid/>
          <w:color w:val="auto"/>
          <w:kern w:val="2"/>
          <w:sz w:val="32"/>
          <w:szCs w:val="32"/>
          <w:u w:val="none"/>
          <w:lang w:val="en-US" w:eastAsia="zh-CN" w:bidi="ar-SA"/>
        </w:rPr>
        <w:t>，</w:t>
      </w:r>
      <w:r>
        <w:rPr>
          <w:rFonts w:hint="eastAsia" w:ascii="Times New Roman" w:hAnsi="Times New Roman" w:eastAsia="仿宋_GB2312" w:cs="仿宋_GB2312"/>
          <w:snapToGrid/>
          <w:color w:val="auto"/>
          <w:kern w:val="2"/>
          <w:sz w:val="32"/>
          <w:szCs w:val="32"/>
          <w:u w:val="none"/>
          <w:lang w:val="en-US" w:eastAsia="zh-CN" w:bidi="ar"/>
        </w:rPr>
        <w:t>提升智能化管理水平。统一经办规程</w:t>
      </w:r>
      <w:r>
        <w:rPr>
          <w:rFonts w:hint="eastAsia" w:cs="仿宋_GB2312"/>
          <w:snapToGrid/>
          <w:color w:val="auto"/>
          <w:kern w:val="2"/>
          <w:sz w:val="32"/>
          <w:szCs w:val="32"/>
          <w:u w:val="none"/>
          <w:lang w:val="en-US" w:eastAsia="zh-CN" w:bidi="ar"/>
        </w:rPr>
        <w:t>，</w:t>
      </w:r>
      <w:r>
        <w:rPr>
          <w:rFonts w:hint="eastAsia" w:ascii="Times New Roman" w:hAnsi="Times New Roman" w:eastAsia="仿宋_GB2312" w:cs="仿宋_GB2312"/>
          <w:snapToGrid/>
          <w:color w:val="auto"/>
          <w:kern w:val="2"/>
          <w:sz w:val="32"/>
          <w:szCs w:val="32"/>
          <w:u w:val="none"/>
          <w:lang w:val="en-US" w:eastAsia="zh-CN" w:bidi="ar"/>
        </w:rPr>
        <w:t>强化对失能评估、护理服务机构及</w:t>
      </w:r>
      <w:r>
        <w:rPr>
          <w:rFonts w:hint="eastAsia" w:cs="仿宋_GB2312"/>
          <w:snapToGrid/>
          <w:color w:val="auto"/>
          <w:kern w:val="2"/>
          <w:sz w:val="32"/>
          <w:szCs w:val="32"/>
          <w:u w:val="none"/>
          <w:lang w:val="en-US" w:eastAsia="zh-CN" w:bidi="ar"/>
        </w:rPr>
        <w:t>社会力量</w:t>
      </w:r>
      <w:r>
        <w:rPr>
          <w:rFonts w:hint="eastAsia" w:ascii="Times New Roman" w:hAnsi="Times New Roman" w:eastAsia="仿宋_GB2312" w:cs="仿宋_GB2312"/>
          <w:snapToGrid/>
          <w:color w:val="auto"/>
          <w:kern w:val="2"/>
          <w:sz w:val="32"/>
          <w:szCs w:val="32"/>
          <w:u w:val="none"/>
          <w:lang w:val="en-US" w:eastAsia="zh-CN" w:bidi="ar"/>
        </w:rPr>
        <w:t>的</w:t>
      </w:r>
      <w:r>
        <w:rPr>
          <w:rFonts w:hint="eastAsia" w:cs="仿宋_GB2312"/>
          <w:snapToGrid/>
          <w:color w:val="auto"/>
          <w:kern w:val="2"/>
          <w:sz w:val="32"/>
          <w:szCs w:val="32"/>
          <w:u w:val="none"/>
          <w:lang w:val="en-US" w:eastAsia="zh-CN" w:bidi="ar"/>
        </w:rPr>
        <w:t>考核管理和激励约束，</w:t>
      </w:r>
      <w:r>
        <w:rPr>
          <w:rFonts w:hint="eastAsia" w:ascii="Times New Roman" w:hAnsi="Times New Roman" w:eastAsia="仿宋_GB2312" w:cs="仿宋_GB2312"/>
          <w:snapToGrid/>
          <w:color w:val="auto"/>
          <w:kern w:val="2"/>
          <w:sz w:val="32"/>
          <w:szCs w:val="32"/>
          <w:u w:val="none"/>
          <w:lang w:val="en-US" w:eastAsia="zh-CN" w:bidi="ar"/>
        </w:rPr>
        <w:t>考核评价结果与基金结算、协议续</w:t>
      </w:r>
      <w:r>
        <w:rPr>
          <w:rFonts w:hint="eastAsia" w:ascii="仿宋_GB2312" w:hAnsi="仿宋_GB2312" w:eastAsia="仿宋_GB2312" w:cs="仿宋_GB2312"/>
          <w:snapToGrid/>
          <w:color w:val="auto"/>
          <w:kern w:val="2"/>
          <w:sz w:val="32"/>
          <w:szCs w:val="32"/>
          <w:u w:val="none"/>
          <w:lang w:val="en-US" w:eastAsia="zh-CN" w:bidi="ar"/>
        </w:rPr>
        <w:t>签、服务资格、激励支持</w:t>
      </w:r>
      <w:r>
        <w:rPr>
          <w:rFonts w:hint="eastAsia" w:ascii="仿宋_GB2312" w:hAnsi="仿宋_GB2312" w:cs="仿宋_GB2312"/>
          <w:snapToGrid/>
          <w:color w:val="auto"/>
          <w:kern w:val="2"/>
          <w:sz w:val="32"/>
          <w:szCs w:val="32"/>
          <w:u w:val="none"/>
          <w:lang w:val="en-US" w:eastAsia="zh-CN" w:bidi="ar"/>
        </w:rPr>
        <w:t>等</w:t>
      </w:r>
      <w:r>
        <w:rPr>
          <w:rFonts w:hint="eastAsia" w:ascii="仿宋_GB2312" w:hAnsi="仿宋_GB2312" w:eastAsia="仿宋_GB2312" w:cs="仿宋_GB2312"/>
          <w:snapToGrid/>
          <w:color w:val="auto"/>
          <w:kern w:val="2"/>
          <w:sz w:val="32"/>
          <w:szCs w:val="32"/>
          <w:u w:val="none"/>
          <w:lang w:val="en-US" w:eastAsia="zh-CN" w:bidi="ar"/>
        </w:rPr>
        <w:t>挂钩</w:t>
      </w:r>
      <w:r>
        <w:rPr>
          <w:rFonts w:hint="eastAsia" w:ascii="Times New Roman" w:hAnsi="Times New Roman" w:eastAsia="仿宋_GB2312" w:cs="仿宋_GB2312"/>
          <w:snapToGrid/>
          <w:color w:val="auto"/>
          <w:kern w:val="2"/>
          <w:sz w:val="32"/>
          <w:szCs w:val="32"/>
          <w:u w:val="none"/>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稳妥做好长期护理保险关系转移接续，</w:t>
      </w:r>
      <w:r>
        <w:rPr>
          <w:rFonts w:hint="eastAsia" w:ascii="Times New Roman" w:hAnsi="Times New Roman" w:eastAsia="仿宋_GB2312" w:cs="仿宋_GB2312"/>
          <w:snapToGrid/>
          <w:color w:val="auto"/>
          <w:kern w:val="2"/>
          <w:sz w:val="32"/>
          <w:szCs w:val="32"/>
          <w:u w:val="none"/>
          <w:lang w:val="en-US" w:eastAsia="zh-CN" w:bidi="ar"/>
        </w:rPr>
        <w:t>以及跨统筹地区参保信息、缴</w:t>
      </w:r>
      <w:r>
        <w:rPr>
          <w:rFonts w:hint="eastAsia" w:cs="仿宋_GB2312"/>
          <w:snapToGrid/>
          <w:color w:val="auto"/>
          <w:kern w:val="2"/>
          <w:sz w:val="32"/>
          <w:szCs w:val="32"/>
          <w:u w:val="none"/>
          <w:lang w:val="en-US" w:eastAsia="zh-CN" w:bidi="ar"/>
        </w:rPr>
        <w:t>费年限</w:t>
      </w:r>
      <w:r>
        <w:rPr>
          <w:rFonts w:hint="eastAsia" w:ascii="Times New Roman" w:hAnsi="Times New Roman" w:eastAsia="仿宋_GB2312" w:cs="仿宋_GB2312"/>
          <w:snapToGrid/>
          <w:color w:val="auto"/>
          <w:kern w:val="2"/>
          <w:sz w:val="32"/>
          <w:szCs w:val="32"/>
          <w:u w:val="none"/>
          <w:lang w:val="en-US" w:eastAsia="zh-CN" w:bidi="ar"/>
        </w:rPr>
        <w:t>互认，</w:t>
      </w:r>
      <w:r>
        <w:rPr>
          <w:rFonts w:hint="eastAsia" w:ascii="仿宋_GB2312" w:hAnsi="仿宋_GB2312" w:eastAsia="仿宋_GB2312" w:cs="仿宋_GB2312"/>
          <w:snapToGrid/>
          <w:color w:val="auto"/>
          <w:kern w:val="2"/>
          <w:sz w:val="32"/>
          <w:szCs w:val="32"/>
          <w:u w:val="none"/>
          <w:lang w:val="en-US" w:eastAsia="zh-CN" w:bidi="ar"/>
        </w:rPr>
        <w:t>按照国家有关规定，</w:t>
      </w:r>
      <w:r>
        <w:rPr>
          <w:rFonts w:hint="eastAsia" w:cs="仿宋_GB2312"/>
          <w:snapToGrid/>
          <w:color w:val="auto"/>
          <w:kern w:val="2"/>
          <w:sz w:val="32"/>
          <w:szCs w:val="32"/>
          <w:u w:val="none"/>
          <w:lang w:val="en-US" w:eastAsia="zh-CN" w:bidi="ar"/>
        </w:rPr>
        <w:t>推进</w:t>
      </w:r>
      <w:r>
        <w:rPr>
          <w:rFonts w:hint="eastAsia" w:ascii="Times New Roman" w:hAnsi="Times New Roman" w:eastAsia="仿宋_GB2312" w:cs="仿宋_GB2312"/>
          <w:snapToGrid/>
          <w:color w:val="auto"/>
          <w:kern w:val="2"/>
          <w:sz w:val="32"/>
          <w:szCs w:val="32"/>
          <w:u w:val="none"/>
          <w:lang w:val="en-US" w:eastAsia="zh-CN" w:bidi="ar"/>
        </w:rPr>
        <w:t>异地参保</w:t>
      </w:r>
      <w:r>
        <w:rPr>
          <w:rFonts w:hint="eastAsia" w:cs="仿宋_GB2312"/>
          <w:snapToGrid/>
          <w:color w:val="auto"/>
          <w:kern w:val="2"/>
          <w:sz w:val="32"/>
          <w:szCs w:val="32"/>
          <w:u w:val="none"/>
          <w:lang w:val="en-US" w:eastAsia="zh-CN" w:bidi="ar"/>
        </w:rPr>
        <w:t>和</w:t>
      </w:r>
      <w:r>
        <w:rPr>
          <w:rFonts w:hint="eastAsia" w:ascii="Times New Roman" w:hAnsi="Times New Roman" w:eastAsia="仿宋_GB2312" w:cs="仿宋_GB2312"/>
          <w:snapToGrid/>
          <w:color w:val="auto"/>
          <w:kern w:val="2"/>
          <w:sz w:val="32"/>
          <w:szCs w:val="32"/>
          <w:u w:val="none"/>
          <w:lang w:val="en-US" w:eastAsia="zh-CN" w:bidi="ar"/>
        </w:rPr>
        <w:t>待遇享受有序衔接。</w:t>
      </w:r>
    </w:p>
    <w:p>
      <w:pPr>
        <w:pStyle w:val="5"/>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b w:val="0"/>
          <w:bCs w:val="0"/>
          <w:snapToGrid/>
          <w:color w:val="auto"/>
          <w:kern w:val="2"/>
          <w:sz w:val="32"/>
          <w:szCs w:val="32"/>
          <w:u w:val="none"/>
          <w:lang w:eastAsia="zh-CN" w:bidi="ar-SA"/>
        </w:rPr>
      </w:pPr>
      <w:r>
        <w:rPr>
          <w:rFonts w:hint="eastAsia" w:ascii="黑体" w:hAnsi="黑体" w:eastAsia="黑体" w:cs="黑体"/>
          <w:b w:val="0"/>
          <w:bCs w:val="0"/>
          <w:snapToGrid/>
          <w:color w:val="auto"/>
          <w:kern w:val="2"/>
          <w:sz w:val="32"/>
          <w:szCs w:val="32"/>
          <w:u w:val="none"/>
          <w:lang w:val="en-US" w:eastAsia="zh-CN" w:bidi="ar-SA"/>
        </w:rPr>
        <w:t>三</w:t>
      </w:r>
      <w:r>
        <w:rPr>
          <w:rFonts w:hint="eastAsia" w:ascii="黑体" w:hAnsi="黑体" w:eastAsia="黑体" w:cs="黑体"/>
          <w:b w:val="0"/>
          <w:bCs w:val="0"/>
          <w:snapToGrid/>
          <w:color w:val="auto"/>
          <w:kern w:val="2"/>
          <w:sz w:val="32"/>
          <w:szCs w:val="32"/>
          <w:u w:val="none"/>
          <w:lang w:eastAsia="zh-CN" w:bidi="ar-SA"/>
        </w:rPr>
        <w:t>、组织实施</w:t>
      </w:r>
    </w:p>
    <w:p>
      <w:pPr>
        <w:pStyle w:val="5"/>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color w:val="auto"/>
          <w:sz w:val="32"/>
          <w:szCs w:val="32"/>
          <w:u w:val="none"/>
          <w:shd w:val="clear" w:color="auto" w:fill="FFFFFF"/>
          <w:lang w:eastAsia="zh-CN"/>
        </w:rPr>
      </w:pPr>
      <w:r>
        <w:rPr>
          <w:rFonts w:hint="eastAsia" w:ascii="Times New Roman" w:hAnsi="Times New Roman" w:eastAsia="仿宋_GB2312" w:cs="仿宋_GB2312"/>
          <w:snapToGrid/>
          <w:color w:val="auto"/>
          <w:kern w:val="2"/>
          <w:sz w:val="32"/>
          <w:szCs w:val="32"/>
          <w:u w:val="none"/>
          <w:lang w:val="en-US" w:eastAsia="zh-CN" w:bidi="ar"/>
        </w:rPr>
        <w:t>各地各部门要</w:t>
      </w:r>
      <w:r>
        <w:rPr>
          <w:rFonts w:hint="eastAsia" w:cs="仿宋_GB2312"/>
          <w:snapToGrid/>
          <w:color w:val="auto"/>
          <w:kern w:val="2"/>
          <w:sz w:val="32"/>
          <w:szCs w:val="32"/>
          <w:u w:val="none"/>
          <w:lang w:val="en-US" w:eastAsia="zh-CN" w:bidi="ar"/>
        </w:rPr>
        <w:t>高度重视长期护理保险制度建设工作，</w:t>
      </w:r>
      <w:r>
        <w:rPr>
          <w:rFonts w:hint="eastAsia" w:ascii="仿宋_GB2312" w:hAnsi="仿宋_GB2312" w:eastAsia="仿宋_GB2312" w:cs="仿宋_GB2312"/>
          <w:sz w:val="32"/>
          <w:szCs w:val="32"/>
          <w:u w:val="none"/>
          <w:lang w:val="en-US" w:eastAsia="zh-CN"/>
        </w:rPr>
        <w:t>加强省市联动、部门协同，形成工作合力。医保部门负责牵头长期护理保险制度建设工作，制定基本政策，优化管理服务。财政部门负责及时足额安排相关财政补助资金、配合医保部门做好基金测算等。税务部门负责做好保费征收等工作。民政、卫生健康、残联</w:t>
      </w:r>
      <w:r>
        <w:rPr>
          <w:rFonts w:hint="eastAsia" w:ascii="仿宋_GB2312" w:hAnsi="仿宋_GB2312" w:cs="仿宋_GB2312"/>
          <w:sz w:val="32"/>
          <w:szCs w:val="32"/>
          <w:u w:val="none"/>
          <w:lang w:val="en-US" w:eastAsia="zh-CN"/>
        </w:rPr>
        <w:t>、金融监管部门</w:t>
      </w:r>
      <w:r>
        <w:rPr>
          <w:rFonts w:hint="eastAsia" w:ascii="仿宋_GB2312" w:hAnsi="仿宋_GB2312" w:eastAsia="仿宋_GB2312" w:cs="仿宋_GB2312"/>
          <w:sz w:val="32"/>
          <w:szCs w:val="32"/>
          <w:u w:val="none"/>
          <w:lang w:val="en-US" w:eastAsia="zh-CN"/>
        </w:rPr>
        <w:t>与医保部门共同负责加强保险体系</w:t>
      </w:r>
      <w:r>
        <w:rPr>
          <w:rFonts w:hint="eastAsia" w:ascii="仿宋_GB2312" w:hAnsi="仿宋_GB2312" w:cs="仿宋_GB2312"/>
          <w:sz w:val="32"/>
          <w:szCs w:val="32"/>
          <w:u w:val="none"/>
          <w:lang w:val="en-US" w:eastAsia="zh-CN"/>
        </w:rPr>
        <w:t>建设</w:t>
      </w:r>
      <w:r>
        <w:rPr>
          <w:rFonts w:hint="eastAsia" w:ascii="仿宋_GB2312" w:hAnsi="仿宋_GB2312" w:eastAsia="仿宋_GB2312" w:cs="仿宋_GB2312"/>
          <w:sz w:val="32"/>
          <w:szCs w:val="32"/>
          <w:u w:val="none"/>
          <w:lang w:val="en-US" w:eastAsia="zh-CN"/>
        </w:rPr>
        <w:t>和服务体系协同联动</w:t>
      </w:r>
      <w:r>
        <w:rPr>
          <w:rFonts w:hint="eastAsia" w:ascii="仿宋_GB2312" w:hAnsi="仿宋_GB2312" w:cs="仿宋_GB2312"/>
          <w:sz w:val="32"/>
          <w:szCs w:val="32"/>
          <w:u w:val="none"/>
          <w:lang w:val="en-US" w:eastAsia="zh-CN"/>
        </w:rPr>
        <w:t>，</w:t>
      </w:r>
      <w:r>
        <w:rPr>
          <w:rFonts w:hint="eastAsia" w:cs="仿宋_GB2312"/>
          <w:snapToGrid/>
          <w:color w:val="auto"/>
          <w:kern w:val="2"/>
          <w:sz w:val="32"/>
          <w:szCs w:val="32"/>
          <w:u w:val="none"/>
          <w:lang w:val="en-US" w:eastAsia="zh-CN" w:bidi="ar"/>
        </w:rPr>
        <w:t>探索失能等级评估结果跨部门互认机制等</w:t>
      </w:r>
      <w:r>
        <w:rPr>
          <w:rFonts w:hint="eastAsia" w:ascii="仿宋_GB2312" w:hAnsi="仿宋_GB2312" w:eastAsia="仿宋_GB2312" w:cs="仿宋_GB2312"/>
          <w:sz w:val="32"/>
          <w:szCs w:val="32"/>
          <w:u w:val="none"/>
          <w:lang w:val="en-US" w:eastAsia="zh-CN"/>
        </w:rPr>
        <w:t>。民政、财政、医保</w:t>
      </w:r>
      <w:r>
        <w:rPr>
          <w:rFonts w:hint="eastAsia" w:ascii="仿宋_GB2312" w:hAnsi="仿宋_GB2312" w:cs="仿宋_GB2312"/>
          <w:sz w:val="32"/>
          <w:szCs w:val="32"/>
          <w:u w:val="none"/>
          <w:lang w:val="en-US" w:eastAsia="zh-CN"/>
        </w:rPr>
        <w:t>部门</w:t>
      </w:r>
      <w:r>
        <w:rPr>
          <w:rFonts w:hint="eastAsia" w:ascii="仿宋_GB2312" w:hAnsi="仿宋_GB2312" w:eastAsia="仿宋_GB2312" w:cs="仿宋_GB2312"/>
          <w:sz w:val="32"/>
          <w:szCs w:val="32"/>
          <w:u w:val="none"/>
          <w:lang w:val="en-US" w:eastAsia="zh-CN"/>
        </w:rPr>
        <w:t>、残联共同做好相关保险与补贴制度的衔接。卫生健康部门负责鼓励基层医疗卫生机构提供长期护理服务</w:t>
      </w:r>
      <w:r>
        <w:rPr>
          <w:rFonts w:hint="eastAsia" w:ascii="仿宋_GB2312" w:hAnsi="仿宋_GB2312" w:cs="仿宋_GB2312"/>
          <w:sz w:val="32"/>
          <w:szCs w:val="32"/>
          <w:u w:val="none"/>
          <w:lang w:val="en-US" w:eastAsia="zh-CN"/>
        </w:rPr>
        <w:t>、</w:t>
      </w:r>
      <w:r>
        <w:rPr>
          <w:rFonts w:hint="eastAsia" w:ascii="仿宋_GB2312" w:hAnsi="仿宋_GB2312" w:eastAsia="仿宋_GB2312" w:cs="仿宋_GB2312"/>
          <w:snapToGrid/>
          <w:color w:val="auto"/>
          <w:kern w:val="2"/>
          <w:sz w:val="32"/>
          <w:szCs w:val="32"/>
          <w:u w:val="none"/>
          <w:lang w:val="en-US" w:eastAsia="zh-CN" w:bidi="ar"/>
        </w:rPr>
        <w:t>探索发挥家庭医生在失能等级评估中的作用</w:t>
      </w:r>
      <w:r>
        <w:rPr>
          <w:rFonts w:hint="eastAsia" w:ascii="仿宋_GB2312" w:hAnsi="仿宋_GB2312" w:eastAsia="仿宋_GB2312" w:cs="仿宋_GB2312"/>
          <w:sz w:val="32"/>
          <w:szCs w:val="32"/>
          <w:u w:val="none"/>
          <w:lang w:val="en-US" w:eastAsia="zh-CN"/>
        </w:rPr>
        <w:t>等。人社部门负责配合做好长期照护师培养培训、长期护理保险与工伤保险衔接、退休人员保费代扣代缴等工作</w:t>
      </w:r>
      <w:r>
        <w:rPr>
          <w:rFonts w:hint="eastAsia" w:ascii="仿宋_GB2312" w:hAnsi="仿宋_GB2312" w:cs="仿宋_GB2312"/>
          <w:sz w:val="32"/>
          <w:szCs w:val="32"/>
          <w:u w:val="none"/>
          <w:lang w:val="en-US" w:eastAsia="zh-CN"/>
        </w:rPr>
        <w:t>。民政、</w:t>
      </w:r>
      <w:r>
        <w:rPr>
          <w:rFonts w:hint="eastAsia" w:ascii="仿宋_GB2312" w:hAnsi="仿宋_GB2312" w:eastAsia="仿宋_GB2312" w:cs="仿宋_GB2312"/>
          <w:sz w:val="32"/>
          <w:szCs w:val="32"/>
          <w:u w:val="none"/>
          <w:lang w:val="en-US" w:eastAsia="zh-CN"/>
        </w:rPr>
        <w:t>农业农村部门负责做好</w:t>
      </w:r>
      <w:r>
        <w:rPr>
          <w:rFonts w:hint="eastAsia" w:ascii="仿宋_GB2312" w:hAnsi="仿宋_GB2312" w:cs="仿宋_GB2312"/>
          <w:sz w:val="32"/>
          <w:szCs w:val="32"/>
          <w:u w:val="none"/>
          <w:lang w:val="en-US" w:eastAsia="zh-CN"/>
        </w:rPr>
        <w:t>困难群众</w:t>
      </w:r>
      <w:r>
        <w:rPr>
          <w:rFonts w:hint="eastAsia" w:ascii="仿宋_GB2312" w:hAnsi="仿宋_GB2312" w:eastAsia="仿宋_GB2312" w:cs="仿宋_GB2312"/>
          <w:sz w:val="32"/>
          <w:szCs w:val="32"/>
          <w:u w:val="none"/>
          <w:lang w:val="en-US" w:eastAsia="zh-CN"/>
        </w:rPr>
        <w:t>认定和帮扶工作</w:t>
      </w:r>
      <w:r>
        <w:rPr>
          <w:rFonts w:hint="eastAsia" w:ascii="仿宋_GB2312" w:hAnsi="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残联协同做好残疾人参保相关工作</w:t>
      </w:r>
      <w:r>
        <w:rPr>
          <w:rFonts w:hint="eastAsia" w:ascii="仿宋_GB2312" w:hAnsi="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教育部门负责指导高职院校等加大</w:t>
      </w:r>
      <w:r>
        <w:rPr>
          <w:rFonts w:hint="eastAsia" w:ascii="仿宋_GB2312" w:hAnsi="仿宋_GB2312" w:cs="仿宋_GB2312"/>
          <w:sz w:val="32"/>
          <w:szCs w:val="32"/>
          <w:u w:val="none"/>
          <w:lang w:val="en-US" w:eastAsia="zh-CN"/>
        </w:rPr>
        <w:t>长期护理</w:t>
      </w:r>
      <w:r>
        <w:rPr>
          <w:rFonts w:hint="eastAsia" w:ascii="仿宋_GB2312" w:hAnsi="仿宋_GB2312" w:eastAsia="仿宋_GB2312" w:cs="仿宋_GB2312"/>
          <w:sz w:val="32"/>
          <w:szCs w:val="32"/>
          <w:u w:val="none"/>
          <w:lang w:val="en-US" w:eastAsia="zh-CN"/>
        </w:rPr>
        <w:t>服务人才培养力度。</w:t>
      </w:r>
      <w:r>
        <w:rPr>
          <w:rFonts w:hint="eastAsia" w:ascii="仿宋_GB2312" w:hAnsi="仿宋_GB2312" w:cs="仿宋_GB2312"/>
          <w:sz w:val="32"/>
          <w:szCs w:val="32"/>
          <w:u w:val="none"/>
          <w:lang w:val="en-US" w:eastAsia="zh-CN"/>
        </w:rPr>
        <w:t>医保、审计、财政、公安、卫生健康、市场监管等部门协同做好基金管理和监管工作。</w:t>
      </w:r>
      <w:r>
        <w:rPr>
          <w:rFonts w:hint="eastAsia" w:ascii="仿宋_GB2312" w:hAnsi="仿宋_GB2312" w:eastAsia="仿宋_GB2312" w:cs="仿宋_GB2312"/>
          <w:sz w:val="32"/>
          <w:szCs w:val="32"/>
          <w:u w:val="none"/>
          <w:lang w:val="en-US" w:eastAsia="zh-CN"/>
        </w:rPr>
        <w:t>加强政策宣传和解读，主动回应社</w:t>
      </w:r>
      <w:r>
        <w:rPr>
          <w:rFonts w:hint="eastAsia" w:cs="仿宋_GB2312"/>
          <w:snapToGrid/>
          <w:color w:val="auto"/>
          <w:kern w:val="2"/>
          <w:sz w:val="32"/>
          <w:szCs w:val="32"/>
          <w:u w:val="none"/>
          <w:lang w:val="en-US" w:eastAsia="zh-CN" w:bidi="ar"/>
        </w:rPr>
        <w:t>会关切，合理引导社会预期。</w:t>
      </w:r>
      <w:r>
        <w:rPr>
          <w:rFonts w:hint="eastAsia" w:ascii="Times New Roman" w:hAnsi="Times New Roman" w:eastAsia="仿宋_GB2312" w:cs="仿宋_GB2312"/>
          <w:snapToGrid/>
          <w:color w:val="auto"/>
          <w:kern w:val="2"/>
          <w:sz w:val="32"/>
          <w:szCs w:val="32"/>
          <w:u w:val="none"/>
          <w:lang w:val="en-US" w:eastAsia="zh-CN" w:bidi="ar"/>
        </w:rPr>
        <w:t>各地工作中遇到的重大事项要及时报告。开展国家试点的</w:t>
      </w:r>
      <w:r>
        <w:rPr>
          <w:rFonts w:hint="eastAsia" w:cs="仿宋_GB2312"/>
          <w:snapToGrid/>
          <w:color w:val="auto"/>
          <w:kern w:val="2"/>
          <w:sz w:val="32"/>
          <w:szCs w:val="32"/>
          <w:u w:val="none"/>
          <w:lang w:val="en-US" w:eastAsia="zh-CN" w:bidi="ar"/>
        </w:rPr>
        <w:t>甘南州和甘肃矿区</w:t>
      </w:r>
      <w:r>
        <w:rPr>
          <w:rFonts w:hint="eastAsia" w:ascii="Times New Roman" w:hAnsi="Times New Roman" w:eastAsia="仿宋_GB2312" w:cs="仿宋_GB2312"/>
          <w:snapToGrid/>
          <w:color w:val="auto"/>
          <w:kern w:val="2"/>
          <w:sz w:val="32"/>
          <w:szCs w:val="32"/>
          <w:u w:val="none"/>
          <w:lang w:val="en-US" w:eastAsia="zh-CN" w:bidi="ar"/>
        </w:rPr>
        <w:t>要对标本方案要求调整完善政策，用3年左右时间完成平稳过渡。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方正小标宋简体" w:hAnsi="方正小标宋简体" w:eastAsia="方正小标宋简体" w:cs="方正小标宋简体"/>
          <w:sz w:val="44"/>
          <w:szCs w:val="44"/>
          <w:u w:val="none"/>
          <w:lang w:val="en-US" w:eastAsia="zh-CN"/>
        </w:rPr>
      </w:pPr>
      <w:r>
        <w:rPr>
          <w:rFonts w:hint="default" w:ascii="Times New Roman" w:hAnsi="Times New Roman" w:eastAsia="仿宋_GB2312" w:cs="Times New Roman"/>
          <w:snapToGrid/>
          <w:color w:val="auto"/>
          <w:kern w:val="2"/>
          <w:sz w:val="32"/>
          <w:szCs w:val="32"/>
          <w:u w:val="none"/>
          <w:lang w:val="en-US" w:eastAsia="zh-CN" w:bidi="ar"/>
        </w:rPr>
        <w:t xml:space="preserve">                      </w:t>
      </w:r>
    </w:p>
    <w:sectPr>
      <w:footerReference r:id="rId3"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6B46"/>
    <w:rsid w:val="03AC7D7B"/>
    <w:rsid w:val="0B064214"/>
    <w:rsid w:val="109F23FC"/>
    <w:rsid w:val="13650456"/>
    <w:rsid w:val="16EF4BFB"/>
    <w:rsid w:val="19715320"/>
    <w:rsid w:val="19AF1F7F"/>
    <w:rsid w:val="1B9F64EC"/>
    <w:rsid w:val="21944296"/>
    <w:rsid w:val="222334A6"/>
    <w:rsid w:val="22367A53"/>
    <w:rsid w:val="25F92FD7"/>
    <w:rsid w:val="26760048"/>
    <w:rsid w:val="28703667"/>
    <w:rsid w:val="28803CB2"/>
    <w:rsid w:val="28BD5C44"/>
    <w:rsid w:val="295959FF"/>
    <w:rsid w:val="2C902915"/>
    <w:rsid w:val="2C9F5E1F"/>
    <w:rsid w:val="2D2456CD"/>
    <w:rsid w:val="31AC17FE"/>
    <w:rsid w:val="39C7388D"/>
    <w:rsid w:val="3AC05F4D"/>
    <w:rsid w:val="42042BF9"/>
    <w:rsid w:val="448F03EB"/>
    <w:rsid w:val="44C91833"/>
    <w:rsid w:val="48852961"/>
    <w:rsid w:val="4B344C58"/>
    <w:rsid w:val="5595651D"/>
    <w:rsid w:val="58C555C6"/>
    <w:rsid w:val="5B5B6991"/>
    <w:rsid w:val="5B8C73EB"/>
    <w:rsid w:val="5EE27405"/>
    <w:rsid w:val="5F7235C4"/>
    <w:rsid w:val="5FE938C2"/>
    <w:rsid w:val="60395667"/>
    <w:rsid w:val="62F465A7"/>
    <w:rsid w:val="62FB6BE3"/>
    <w:rsid w:val="66D97E2F"/>
    <w:rsid w:val="67EB36EB"/>
    <w:rsid w:val="687E683A"/>
    <w:rsid w:val="69B876F6"/>
    <w:rsid w:val="6A94695C"/>
    <w:rsid w:val="6B9C32CB"/>
    <w:rsid w:val="6EAC5F1B"/>
    <w:rsid w:val="6FEF37FD"/>
    <w:rsid w:val="710F37C4"/>
    <w:rsid w:val="73010807"/>
    <w:rsid w:val="741B4195"/>
    <w:rsid w:val="750B1043"/>
    <w:rsid w:val="75D0271D"/>
    <w:rsid w:val="79B53B59"/>
    <w:rsid w:val="7AE511A8"/>
    <w:rsid w:val="7D580A83"/>
    <w:rsid w:val="7E9E6B84"/>
    <w:rsid w:val="7FF8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6"/>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keepNext w:val="0"/>
      <w:keepLines w:val="0"/>
      <w:widowControl w:val="0"/>
      <w:suppressLineNumbers w:val="0"/>
      <w:adjustRightInd w:val="0"/>
      <w:snapToGrid w:val="0"/>
      <w:spacing w:before="0" w:beforeAutospacing="0" w:after="0" w:afterAutospacing="0" w:line="560" w:lineRule="exact"/>
      <w:ind w:left="0" w:right="0" w:firstLine="200" w:firstLineChars="200"/>
      <w:jc w:val="both"/>
    </w:pPr>
    <w:rPr>
      <w:rFonts w:hint="default" w:ascii="Times New Roman" w:hAnsi="Times New Roman" w:eastAsia="仿宋_GB2312" w:cs="Times New Roman"/>
      <w:snapToGrid/>
      <w:kern w:val="2"/>
      <w:sz w:val="32"/>
      <w:szCs w:val="24"/>
      <w:lang w:val="en-US" w:eastAsia="zh-CN" w:bidi="ar"/>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4303</Characters>
  <Lines>0</Lines>
  <Paragraphs>0</Paragraphs>
  <TotalTime>57</TotalTime>
  <ScaleCrop>false</ScaleCrop>
  <LinksUpToDate>false</LinksUpToDate>
  <CharactersWithSpaces>4365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2025-03-28T10:22:00Z</dcterms:created>
  <dc:creator>admin</dc:creator>
  <cp:lastModifiedBy>PICC</cp:lastModifiedBy>
  <cp:lastPrinted>2026-02-26T02:09:00Z</cp:lastPrinted>
  <dcterms:modified xsi:type="dcterms:W3CDTF">2026-03-11T07:00:19Z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eyJoZGlkIjoiNTAzYWFjZjZjMDEzNDQ1ZTRmNjE4MjlkNmY5YmYyYTQiLCJ1c2VySWQiOiI2MDIzNjQwMzQifQ==</vt:lpwstr>
  </property>
  <property fmtid="{D5CDD505-2E9C-101B-9397-08002B2CF9AE}" pid="4" name="ICV">
    <vt:lpwstr>F01EF09D3CD14D3B87BCF19D0E9D6A92_13</vt:lpwstr>
  </property>
</Properties>
</file>